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5D2932" w14:paraId="7DE175CA" w14:textId="77777777" w:rsidTr="005D2932">
        <w:tc>
          <w:tcPr>
            <w:tcW w:w="6996" w:type="dxa"/>
          </w:tcPr>
          <w:p w14:paraId="5986A310" w14:textId="77777777" w:rsidR="005D2932" w:rsidRPr="005D2932" w:rsidRDefault="005D2932" w:rsidP="005D2932">
            <w:pPr>
              <w:keepNext/>
              <w:ind w:right="-108" w:hanging="90"/>
              <w:jc w:val="center"/>
              <w:outlineLvl w:val="0"/>
              <w:rPr>
                <w:rFonts w:eastAsia="SimSun"/>
                <w:bCs/>
                <w:color w:val="auto"/>
                <w:kern w:val="0"/>
                <w:sz w:val="26"/>
                <w:szCs w:val="26"/>
                <w:lang w:val="vi-VN"/>
                <w14:ligatures w14:val="none"/>
              </w:rPr>
            </w:pPr>
            <w:r w:rsidRPr="005D2932">
              <w:rPr>
                <w:rFonts w:eastAsia="SimSun"/>
                <w:bCs/>
                <w:color w:val="auto"/>
                <w:kern w:val="0"/>
                <w:sz w:val="26"/>
                <w:szCs w:val="26"/>
                <w:lang w:val="vi-VN"/>
                <w14:ligatures w14:val="none"/>
              </w:rPr>
              <w:t>UBND THÀNH PHỐ HẢI PHÒNG</w:t>
            </w:r>
          </w:p>
          <w:p w14:paraId="1D2A771B" w14:textId="77777777" w:rsidR="005D2932" w:rsidRPr="005D2932" w:rsidRDefault="005D2932" w:rsidP="005D2932">
            <w:pPr>
              <w:ind w:right="-108"/>
              <w:jc w:val="center"/>
              <w:rPr>
                <w:rFonts w:eastAsia="SimSun"/>
                <w:b/>
                <w:bCs/>
                <w:color w:val="auto"/>
                <w:kern w:val="0"/>
                <w:sz w:val="26"/>
                <w:szCs w:val="26"/>
                <w14:ligatures w14:val="none"/>
              </w:rPr>
            </w:pPr>
            <w:r w:rsidRPr="005D2932">
              <w:rPr>
                <w:rFonts w:eastAsia="SimSun"/>
                <w:noProof/>
                <w:color w:val="auto"/>
                <w:kern w:val="0"/>
                <w:sz w:val="24"/>
                <w:szCs w:val="24"/>
                <w:lang w:val="vi-VN"/>
                <w14:ligatures w14:val="none"/>
              </w:rPr>
              <mc:AlternateContent>
                <mc:Choice Requires="wps">
                  <w:drawing>
                    <wp:anchor distT="0" distB="0" distL="114300" distR="114300" simplePos="0" relativeHeight="251660288" behindDoc="0" locked="0" layoutInCell="1" allowOverlap="1" wp14:anchorId="4D70AF22" wp14:editId="76FB82CA">
                      <wp:simplePos x="0" y="0"/>
                      <wp:positionH relativeFrom="column">
                        <wp:posOffset>1690645</wp:posOffset>
                      </wp:positionH>
                      <wp:positionV relativeFrom="paragraph">
                        <wp:posOffset>263872</wp:posOffset>
                      </wp:positionV>
                      <wp:extent cx="895985" cy="0"/>
                      <wp:effectExtent l="13970" t="9525" r="13970" b="9525"/>
                      <wp:wrapNone/>
                      <wp:docPr id="79269659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053C9" id="Line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20.8pt" to="203.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"/>
                  </w:pict>
                </mc:Fallback>
              </mc:AlternateContent>
            </w:r>
            <w:r w:rsidRPr="005D2932">
              <w:rPr>
                <w:rFonts w:eastAsia="SimSun"/>
                <w:b/>
                <w:bCs/>
                <w:color w:val="auto"/>
                <w:kern w:val="0"/>
                <w:sz w:val="26"/>
                <w:szCs w:val="26"/>
                <w:lang w:val="vi-VN"/>
                <w14:ligatures w14:val="none"/>
              </w:rPr>
              <w:t>SỞ TÀI CHÍNH</w:t>
            </w:r>
          </w:p>
        </w:tc>
        <w:tc>
          <w:tcPr>
            <w:tcW w:w="6997" w:type="dxa"/>
          </w:tcPr>
          <w:p w14:paraId="0127F591" w14:textId="77777777" w:rsidR="005D2932" w:rsidRPr="005D2932" w:rsidRDefault="005D2932" w:rsidP="005D2932">
            <w:pPr>
              <w:ind w:left="-108"/>
              <w:jc w:val="center"/>
              <w:rPr>
                <w:rFonts w:eastAsia="SimSun"/>
                <w:b/>
                <w:bCs/>
                <w:color w:val="auto"/>
                <w:kern w:val="0"/>
                <w:sz w:val="26"/>
                <w:szCs w:val="26"/>
                <w:lang w:val="vi-VN"/>
                <w14:ligatures w14:val="none"/>
              </w:rPr>
            </w:pPr>
            <w:r w:rsidRPr="005D2932">
              <w:rPr>
                <w:rFonts w:eastAsia="SimSun"/>
                <w:b/>
                <w:bCs/>
                <w:color w:val="auto"/>
                <w:kern w:val="0"/>
                <w:sz w:val="26"/>
                <w:szCs w:val="26"/>
                <w:lang w:val="vi-VN"/>
                <w14:ligatures w14:val="none"/>
              </w:rPr>
              <w:t>CỘNG HÒA XÃ HỘI CHỦ NGHĨA VIỆT NAM</w:t>
            </w:r>
          </w:p>
          <w:p w14:paraId="75047C56" w14:textId="77777777" w:rsidR="005D2932" w:rsidRPr="005D2932" w:rsidRDefault="005D2932" w:rsidP="005D2932">
            <w:pPr>
              <w:jc w:val="center"/>
              <w:rPr>
                <w:rFonts w:eastAsia="SimSun"/>
                <w:color w:val="auto"/>
                <w:kern w:val="0"/>
                <w:lang w:val="vi-VN"/>
                <w14:ligatures w14:val="none"/>
              </w:rPr>
            </w:pPr>
            <w:r w:rsidRPr="005D2932">
              <w:rPr>
                <w:rFonts w:eastAsia="SimSun"/>
                <w:b/>
                <w:bCs/>
                <w:color w:val="auto"/>
                <w:kern w:val="0"/>
                <w:lang w:val="vi-VN"/>
                <w14:ligatures w14:val="none"/>
              </w:rPr>
              <w:t>Độc lập - Tự</w:t>
            </w:r>
            <w:r w:rsidRPr="005D2932">
              <w:rPr>
                <w:rFonts w:eastAsia="SimSun"/>
                <w:color w:val="auto"/>
                <w:kern w:val="0"/>
                <w:lang w:val="vi-VN"/>
                <w14:ligatures w14:val="none"/>
              </w:rPr>
              <w:t xml:space="preserve"> </w:t>
            </w:r>
            <w:r w:rsidRPr="005D2932">
              <w:rPr>
                <w:rFonts w:eastAsia="SimSun"/>
                <w:b/>
                <w:bCs/>
                <w:color w:val="auto"/>
                <w:kern w:val="0"/>
                <w:lang w:val="vi-VN"/>
                <w14:ligatures w14:val="none"/>
              </w:rPr>
              <w:t>do - Hạnh phúc</w:t>
            </w:r>
          </w:p>
          <w:p w14:paraId="4822E614" w14:textId="77777777" w:rsidR="005D2932" w:rsidRDefault="005D2932" w:rsidP="005D2932">
            <w:pPr>
              <w:jc w:val="both"/>
              <w:rPr>
                <w:b/>
                <w:sz w:val="26"/>
                <w:szCs w:val="26"/>
              </w:rPr>
            </w:pPr>
            <w:r w:rsidRPr="005D2932">
              <w:rPr>
                <w:rFonts w:eastAsia="SimSun"/>
                <w:iCs/>
                <w:noProof/>
                <w:color w:val="auto"/>
                <w:kern w:val="0"/>
                <w:lang w:val="vi-VN"/>
                <w14:ligatures w14:val="none"/>
              </w:rPr>
              <mc:AlternateContent>
                <mc:Choice Requires="wps">
                  <w:drawing>
                    <wp:anchor distT="0" distB="0" distL="114300" distR="114300" simplePos="0" relativeHeight="251659264" behindDoc="0" locked="0" layoutInCell="1" allowOverlap="1" wp14:anchorId="29D57E9D" wp14:editId="7E6710FE">
                      <wp:simplePos x="0" y="0"/>
                      <wp:positionH relativeFrom="column">
                        <wp:posOffset>1232678</wp:posOffset>
                      </wp:positionH>
                      <wp:positionV relativeFrom="paragraph">
                        <wp:posOffset>64530</wp:posOffset>
                      </wp:positionV>
                      <wp:extent cx="1837055" cy="0"/>
                      <wp:effectExtent l="9525" t="9525" r="10795" b="9525"/>
                      <wp:wrapNone/>
                      <wp:docPr id="9441855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B72F3"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5.1pt" to="241.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9sAEAAEgDAAAOAAAAZHJzL2Uyb0RvYy54bWysU8Fu2zAMvQ/YPwi6L3YyZO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"/>
                  </w:pict>
                </mc:Fallback>
              </mc:AlternateContent>
            </w:r>
          </w:p>
        </w:tc>
      </w:tr>
    </w:tbl>
    <w:p w14:paraId="0205C113" w14:textId="77777777" w:rsidR="005D2932" w:rsidRDefault="005D2932" w:rsidP="005D2932">
      <w:pPr>
        <w:jc w:val="both"/>
        <w:rPr>
          <w:b/>
          <w:sz w:val="26"/>
          <w:szCs w:val="26"/>
        </w:rPr>
      </w:pPr>
    </w:p>
    <w:p w14:paraId="5B5A61FE" w14:textId="599F6FC8" w:rsidR="005D2932" w:rsidRPr="00263168" w:rsidRDefault="005D2932" w:rsidP="004148E0">
      <w:pPr>
        <w:pStyle w:val="NoSpacing"/>
        <w:spacing w:line="276" w:lineRule="auto"/>
        <w:jc w:val="center"/>
        <w:rPr>
          <w:b/>
          <w:bCs/>
        </w:rPr>
      </w:pPr>
      <w:r w:rsidRPr="00263168">
        <w:rPr>
          <w:b/>
          <w:bCs/>
          <w:shd w:val="clear" w:color="auto" w:fill="FFFFFF"/>
          <w:lang w:val="vi-VN"/>
        </w:rPr>
        <w:t>BẢN TỔNG HỢP </w:t>
      </w:r>
      <w:r w:rsidRPr="00263168">
        <w:rPr>
          <w:b/>
          <w:bCs/>
          <w:shd w:val="clear" w:color="auto" w:fill="FFFFFF"/>
        </w:rPr>
        <w:t>Ý KI</w:t>
      </w:r>
      <w:r w:rsidRPr="00263168">
        <w:rPr>
          <w:b/>
          <w:bCs/>
          <w:shd w:val="clear" w:color="auto" w:fill="FFFFFF"/>
          <w:lang w:val="vi-VN"/>
        </w:rPr>
        <w:t>ẾN, TIẾP THU, GIẢI TR</w:t>
      </w:r>
      <w:r w:rsidRPr="00263168">
        <w:rPr>
          <w:b/>
          <w:bCs/>
          <w:shd w:val="clear" w:color="auto" w:fill="FFFFFF"/>
        </w:rPr>
        <w:t>ÌNH Ý KI</w:t>
      </w:r>
      <w:r w:rsidRPr="00263168">
        <w:rPr>
          <w:b/>
          <w:bCs/>
          <w:shd w:val="clear" w:color="auto" w:fill="FFFFFF"/>
          <w:lang w:val="vi-VN"/>
        </w:rPr>
        <w:t>ẾN G</w:t>
      </w:r>
      <w:r w:rsidRPr="00263168">
        <w:rPr>
          <w:b/>
          <w:bCs/>
          <w:shd w:val="clear" w:color="auto" w:fill="FFFFFF"/>
        </w:rPr>
        <w:t>ÓP Ý, PH</w:t>
      </w:r>
      <w:r w:rsidRPr="00263168">
        <w:rPr>
          <w:b/>
          <w:bCs/>
          <w:shd w:val="clear" w:color="auto" w:fill="FFFFFF"/>
          <w:lang w:val="vi-VN"/>
        </w:rPr>
        <w:t>ẢN BIỆN X</w:t>
      </w:r>
      <w:r w:rsidRPr="00263168">
        <w:rPr>
          <w:b/>
          <w:bCs/>
          <w:shd w:val="clear" w:color="auto" w:fill="FFFFFF"/>
        </w:rPr>
        <w:t>Ã H</w:t>
      </w:r>
      <w:r w:rsidRPr="00263168">
        <w:rPr>
          <w:b/>
          <w:bCs/>
          <w:shd w:val="clear" w:color="auto" w:fill="FFFFFF"/>
          <w:lang w:val="vi-VN"/>
        </w:rPr>
        <w:t>ỘI ĐỐI VỚI</w:t>
      </w:r>
      <w:r w:rsidRPr="00263168">
        <w:rPr>
          <w:b/>
          <w:bCs/>
          <w:shd w:val="clear" w:color="auto" w:fill="FFFFFF"/>
        </w:rPr>
        <w:t xml:space="preserve"> DỰ THẢO</w:t>
      </w:r>
    </w:p>
    <w:p w14:paraId="283E1099" w14:textId="77777777" w:rsidR="00263168" w:rsidRDefault="00263168" w:rsidP="004148E0">
      <w:pPr>
        <w:pStyle w:val="NoSpacing"/>
        <w:spacing w:line="276" w:lineRule="auto"/>
        <w:jc w:val="center"/>
        <w:rPr>
          <w:b/>
          <w:bCs/>
        </w:rPr>
      </w:pPr>
      <w:r w:rsidRPr="00263168">
        <w:rPr>
          <w:b/>
          <w:bCs/>
        </w:rPr>
        <w:t>Quyết định của Ủy ban nhân dân thành phố phân cấp thẩm quyền quyết định xác lập, phê duyệt</w:t>
      </w:r>
    </w:p>
    <w:p w14:paraId="0B4ABAF8" w14:textId="2705A992" w:rsidR="004148E0" w:rsidRDefault="00263168" w:rsidP="0013763F">
      <w:pPr>
        <w:pStyle w:val="NoSpacing"/>
        <w:spacing w:line="276" w:lineRule="auto"/>
        <w:jc w:val="center"/>
        <w:rPr>
          <w:b/>
          <w:bCs/>
        </w:rPr>
      </w:pPr>
      <w:r w:rsidRPr="00263168">
        <w:rPr>
          <w:b/>
          <w:bCs/>
        </w:rPr>
        <w:t xml:space="preserve"> phương án</w:t>
      </w:r>
      <w:r>
        <w:rPr>
          <w:b/>
          <w:bCs/>
        </w:rPr>
        <w:t xml:space="preserve"> </w:t>
      </w:r>
      <w:r w:rsidRPr="00263168">
        <w:rPr>
          <w:b/>
          <w:bCs/>
        </w:rPr>
        <w:t>xử lý tài</w:t>
      </w:r>
      <w:r w:rsidRPr="00263168">
        <w:rPr>
          <w:b/>
          <w:bCs/>
          <w:spacing w:val="-4"/>
        </w:rPr>
        <w:t xml:space="preserve"> </w:t>
      </w:r>
      <w:r w:rsidRPr="00263168">
        <w:rPr>
          <w:b/>
          <w:bCs/>
        </w:rPr>
        <w:t>sản</w:t>
      </w:r>
      <w:r w:rsidRPr="00263168">
        <w:rPr>
          <w:b/>
          <w:bCs/>
          <w:spacing w:val="-2"/>
        </w:rPr>
        <w:t xml:space="preserve"> </w:t>
      </w:r>
      <w:r w:rsidRPr="00263168">
        <w:rPr>
          <w:b/>
          <w:bCs/>
        </w:rPr>
        <w:t>được</w:t>
      </w:r>
      <w:r w:rsidRPr="00263168">
        <w:rPr>
          <w:b/>
          <w:bCs/>
          <w:spacing w:val="-5"/>
        </w:rPr>
        <w:t xml:space="preserve"> </w:t>
      </w:r>
      <w:r w:rsidRPr="00263168">
        <w:rPr>
          <w:b/>
          <w:bCs/>
        </w:rPr>
        <w:t>xác</w:t>
      </w:r>
      <w:r w:rsidRPr="00263168">
        <w:rPr>
          <w:b/>
          <w:bCs/>
          <w:spacing w:val="-5"/>
        </w:rPr>
        <w:t xml:space="preserve"> </w:t>
      </w:r>
      <w:r w:rsidRPr="00263168">
        <w:rPr>
          <w:b/>
          <w:bCs/>
        </w:rPr>
        <w:t>lập</w:t>
      </w:r>
      <w:r w:rsidRPr="00263168">
        <w:rPr>
          <w:b/>
          <w:bCs/>
          <w:spacing w:val="-5"/>
        </w:rPr>
        <w:t xml:space="preserve"> </w:t>
      </w:r>
      <w:r w:rsidRPr="00263168">
        <w:rPr>
          <w:b/>
          <w:bCs/>
        </w:rPr>
        <w:t>quyền</w:t>
      </w:r>
      <w:r w:rsidRPr="00263168">
        <w:rPr>
          <w:b/>
          <w:bCs/>
          <w:spacing w:val="-5"/>
        </w:rPr>
        <w:t xml:space="preserve"> </w:t>
      </w:r>
      <w:r w:rsidRPr="00263168">
        <w:rPr>
          <w:b/>
          <w:bCs/>
        </w:rPr>
        <w:t>sở</w:t>
      </w:r>
      <w:r w:rsidRPr="00263168">
        <w:rPr>
          <w:b/>
          <w:bCs/>
          <w:spacing w:val="-2"/>
        </w:rPr>
        <w:t xml:space="preserve"> </w:t>
      </w:r>
      <w:r w:rsidRPr="00263168">
        <w:rPr>
          <w:b/>
          <w:bCs/>
        </w:rPr>
        <w:t>hữu toàn</w:t>
      </w:r>
      <w:r w:rsidRPr="00263168">
        <w:rPr>
          <w:b/>
          <w:bCs/>
          <w:spacing w:val="-2"/>
        </w:rPr>
        <w:t xml:space="preserve"> </w:t>
      </w:r>
      <w:r w:rsidRPr="00263168">
        <w:rPr>
          <w:b/>
          <w:bCs/>
        </w:rPr>
        <w:t>dân trên</w:t>
      </w:r>
      <w:r w:rsidRPr="00263168">
        <w:rPr>
          <w:b/>
          <w:bCs/>
          <w:spacing w:val="-2"/>
        </w:rPr>
        <w:t xml:space="preserve"> </w:t>
      </w:r>
      <w:r w:rsidRPr="00263168">
        <w:rPr>
          <w:b/>
          <w:bCs/>
        </w:rPr>
        <w:t>địa</w:t>
      </w:r>
      <w:r w:rsidRPr="00263168">
        <w:rPr>
          <w:b/>
          <w:bCs/>
          <w:spacing w:val="-1"/>
        </w:rPr>
        <w:t xml:space="preserve"> </w:t>
      </w:r>
      <w:r w:rsidRPr="00263168">
        <w:rPr>
          <w:b/>
          <w:bCs/>
        </w:rPr>
        <w:t>bàn</w:t>
      </w:r>
      <w:r w:rsidRPr="00263168">
        <w:rPr>
          <w:b/>
          <w:bCs/>
          <w:spacing w:val="-2"/>
        </w:rPr>
        <w:t xml:space="preserve"> </w:t>
      </w:r>
      <w:r w:rsidRPr="00263168">
        <w:rPr>
          <w:b/>
          <w:bCs/>
        </w:rPr>
        <w:t>thành phố Hải Phòng</w:t>
      </w:r>
    </w:p>
    <w:p w14:paraId="06B00BA3" w14:textId="77777777" w:rsidR="0013763F" w:rsidRPr="0013763F" w:rsidRDefault="0013763F" w:rsidP="0013763F">
      <w:pPr>
        <w:pStyle w:val="NoSpacing"/>
        <w:spacing w:line="276" w:lineRule="auto"/>
        <w:jc w:val="center"/>
        <w:rPr>
          <w:b/>
          <w:bCs/>
        </w:rPr>
      </w:pPr>
    </w:p>
    <w:p w14:paraId="3E7AE531" w14:textId="714FF9CE" w:rsidR="00137E00" w:rsidRPr="008D1BBE" w:rsidRDefault="00137E00" w:rsidP="0013763F">
      <w:pPr>
        <w:spacing w:after="0" w:line="240" w:lineRule="auto"/>
        <w:ind w:firstLine="720"/>
        <w:contextualSpacing/>
        <w:jc w:val="both"/>
        <w:rPr>
          <w:bCs/>
          <w:sz w:val="26"/>
          <w:szCs w:val="26"/>
        </w:rPr>
      </w:pPr>
      <w:r w:rsidRPr="008D1BBE">
        <w:rPr>
          <w:bCs/>
          <w:sz w:val="26"/>
          <w:szCs w:val="26"/>
        </w:rPr>
        <w:t xml:space="preserve">Căn cứ Luật Ban hành văn bản quy phạm pháp luật, cơ quan chủ trì soạn thảo đã tổ chức lấy ý kiến, tham vấn đối với hồ sơ Dự thảo Quyết định của Uỷ ban nhân dân thành phố phân cấp </w:t>
      </w:r>
      <w:r w:rsidR="00DB3203" w:rsidRPr="008D1BBE">
        <w:rPr>
          <w:bCs/>
          <w:sz w:val="26"/>
          <w:szCs w:val="26"/>
        </w:rPr>
        <w:t>phân cấp thẩm quyền quyết định xác lập, phê duyệt phương án xử lý tài sản được xác lập quyền sở hữu toàn dân trên địa bàn thành phố Hải Phòng</w:t>
      </w:r>
      <w:r w:rsidRPr="008D1BBE">
        <w:rPr>
          <w:bCs/>
          <w:sz w:val="26"/>
          <w:szCs w:val="26"/>
        </w:rPr>
        <w:t xml:space="preserve">. </w:t>
      </w:r>
    </w:p>
    <w:p w14:paraId="0BB758D4" w14:textId="0C06EE9E" w:rsidR="00137E00" w:rsidRPr="008D1BBE" w:rsidRDefault="00137E00" w:rsidP="0013763F">
      <w:pPr>
        <w:pStyle w:val="NormalWeb"/>
        <w:shd w:val="clear" w:color="auto" w:fill="FFFFFF"/>
        <w:spacing w:before="0" w:beforeAutospacing="0" w:after="0" w:afterAutospacing="0"/>
        <w:ind w:firstLine="720"/>
        <w:contextualSpacing/>
        <w:rPr>
          <w:color w:val="000000"/>
          <w:sz w:val="26"/>
          <w:szCs w:val="26"/>
        </w:rPr>
      </w:pPr>
      <w:r w:rsidRPr="008D1BBE">
        <w:rPr>
          <w:bCs/>
          <w:color w:val="000000" w:themeColor="text1"/>
          <w:sz w:val="26"/>
          <w:szCs w:val="26"/>
        </w:rPr>
        <w:t xml:space="preserve">1. </w:t>
      </w:r>
      <w:r w:rsidRPr="008D1BBE">
        <w:rPr>
          <w:color w:val="000000"/>
          <w:sz w:val="26"/>
          <w:szCs w:val="26"/>
          <w:lang w:val="en"/>
        </w:rPr>
        <w:t>T</w:t>
      </w:r>
      <w:r w:rsidRPr="008D1BBE">
        <w:rPr>
          <w:color w:val="000000"/>
          <w:sz w:val="26"/>
          <w:szCs w:val="26"/>
          <w:lang w:val="vi-VN"/>
        </w:rPr>
        <w:t>ổng số cơ quan, tổ chức, c</w:t>
      </w:r>
      <w:r w:rsidRPr="008D1BBE">
        <w:rPr>
          <w:color w:val="000000"/>
          <w:sz w:val="26"/>
          <w:szCs w:val="26"/>
        </w:rPr>
        <w:t>á nhân đã g</w:t>
      </w:r>
      <w:r w:rsidRPr="008D1BBE">
        <w:rPr>
          <w:color w:val="000000"/>
          <w:sz w:val="26"/>
          <w:szCs w:val="26"/>
          <w:lang w:val="vi-VN"/>
        </w:rPr>
        <w:t>ửi xin </w:t>
      </w:r>
      <w:r w:rsidRPr="008D1BBE">
        <w:rPr>
          <w:color w:val="000000"/>
          <w:sz w:val="26"/>
          <w:szCs w:val="26"/>
        </w:rPr>
        <w:t>ý ki</w:t>
      </w:r>
      <w:r w:rsidRPr="008D1BBE">
        <w:rPr>
          <w:color w:val="000000"/>
          <w:sz w:val="26"/>
          <w:szCs w:val="26"/>
          <w:lang w:val="vi-VN"/>
        </w:rPr>
        <w:t>ến</w:t>
      </w:r>
      <w:r w:rsidRPr="008D1BBE">
        <w:rPr>
          <w:color w:val="000000"/>
          <w:sz w:val="26"/>
          <w:szCs w:val="26"/>
        </w:rPr>
        <w:t xml:space="preserve"> là </w:t>
      </w:r>
      <w:r w:rsidRPr="004C3CD0">
        <w:rPr>
          <w:color w:val="000000"/>
          <w:sz w:val="26"/>
          <w:szCs w:val="26"/>
        </w:rPr>
        <w:t>274</w:t>
      </w:r>
      <w:r w:rsidRPr="008D1BBE">
        <w:rPr>
          <w:color w:val="000000"/>
          <w:sz w:val="26"/>
          <w:szCs w:val="26"/>
        </w:rPr>
        <w:t xml:space="preserve"> </w:t>
      </w:r>
      <w:r w:rsidRPr="008D1BBE">
        <w:rPr>
          <w:color w:val="000000"/>
          <w:sz w:val="26"/>
          <w:szCs w:val="26"/>
          <w:lang w:val="vi-VN"/>
        </w:rPr>
        <w:t>v</w:t>
      </w:r>
      <w:r w:rsidRPr="008D1BBE">
        <w:rPr>
          <w:color w:val="000000"/>
          <w:sz w:val="26"/>
          <w:szCs w:val="26"/>
        </w:rPr>
        <w:t>à t</w:t>
      </w:r>
      <w:r w:rsidRPr="008D1BBE">
        <w:rPr>
          <w:color w:val="000000"/>
          <w:sz w:val="26"/>
          <w:szCs w:val="26"/>
          <w:lang w:val="vi-VN"/>
        </w:rPr>
        <w:t>ổng số </w:t>
      </w:r>
      <w:r w:rsidRPr="008D1BBE">
        <w:rPr>
          <w:color w:val="000000"/>
          <w:sz w:val="26"/>
          <w:szCs w:val="26"/>
        </w:rPr>
        <w:t>ý ki</w:t>
      </w:r>
      <w:r w:rsidRPr="008D1BBE">
        <w:rPr>
          <w:color w:val="000000"/>
          <w:sz w:val="26"/>
          <w:szCs w:val="26"/>
          <w:lang w:val="vi-VN"/>
        </w:rPr>
        <w:t>ến nhận được</w:t>
      </w:r>
      <w:r w:rsidRPr="008D1BBE">
        <w:rPr>
          <w:color w:val="000000"/>
          <w:sz w:val="26"/>
          <w:szCs w:val="26"/>
        </w:rPr>
        <w:t xml:space="preserve"> là </w:t>
      </w:r>
      <w:r w:rsidR="004C3CD0">
        <w:rPr>
          <w:color w:val="000000"/>
          <w:sz w:val="26"/>
          <w:szCs w:val="26"/>
        </w:rPr>
        <w:t>12</w:t>
      </w:r>
      <w:r w:rsidR="00BA7C95">
        <w:rPr>
          <w:color w:val="000000"/>
          <w:sz w:val="26"/>
          <w:szCs w:val="26"/>
        </w:rPr>
        <w:t>4</w:t>
      </w:r>
      <w:r w:rsidRPr="008D1BBE">
        <w:rPr>
          <w:color w:val="000000"/>
          <w:sz w:val="26"/>
          <w:szCs w:val="26"/>
        </w:rPr>
        <w:t xml:space="preserve">. Trong đó có </w:t>
      </w:r>
      <w:r w:rsidR="004C3CD0">
        <w:rPr>
          <w:color w:val="000000"/>
          <w:sz w:val="26"/>
          <w:szCs w:val="26"/>
        </w:rPr>
        <w:t>1</w:t>
      </w:r>
      <w:r w:rsidR="0099573F">
        <w:rPr>
          <w:color w:val="000000"/>
          <w:sz w:val="26"/>
          <w:szCs w:val="26"/>
        </w:rPr>
        <w:t>2</w:t>
      </w:r>
      <w:r w:rsidR="00BA7C95">
        <w:rPr>
          <w:color w:val="000000"/>
          <w:sz w:val="26"/>
          <w:szCs w:val="26"/>
        </w:rPr>
        <w:t>1</w:t>
      </w:r>
      <w:r w:rsidRPr="008D1BBE">
        <w:rPr>
          <w:color w:val="000000"/>
          <w:sz w:val="26"/>
          <w:szCs w:val="26"/>
        </w:rPr>
        <w:t xml:space="preserve"> ý kiến nhất trí với dự thảo văn bản. </w:t>
      </w:r>
    </w:p>
    <w:p w14:paraId="794701D9" w14:textId="341EE75B" w:rsidR="00546645" w:rsidRDefault="00137E00" w:rsidP="0013763F">
      <w:pPr>
        <w:pStyle w:val="NormalWeb"/>
        <w:shd w:val="clear" w:color="auto" w:fill="FFFFFF"/>
        <w:spacing w:before="0" w:beforeAutospacing="0" w:after="120" w:afterAutospacing="0"/>
        <w:ind w:firstLine="720"/>
        <w:rPr>
          <w:color w:val="000000"/>
          <w:sz w:val="26"/>
          <w:szCs w:val="26"/>
        </w:rPr>
      </w:pPr>
      <w:r w:rsidRPr="008D1BBE">
        <w:rPr>
          <w:color w:val="000000"/>
          <w:sz w:val="26"/>
          <w:szCs w:val="26"/>
          <w:lang w:val="en"/>
        </w:rPr>
        <w:t>2. K</w:t>
      </w:r>
      <w:r w:rsidRPr="008D1BBE">
        <w:rPr>
          <w:color w:val="000000"/>
          <w:sz w:val="26"/>
          <w:szCs w:val="26"/>
          <w:lang w:val="vi-VN"/>
        </w:rPr>
        <w:t>ết quả cụ thể như sau:</w:t>
      </w:r>
    </w:p>
    <w:tbl>
      <w:tblPr>
        <w:tblStyle w:val="TableGrid"/>
        <w:tblW w:w="15310" w:type="dxa"/>
        <w:tblInd w:w="-856" w:type="dxa"/>
        <w:tblLook w:val="04A0" w:firstRow="1" w:lastRow="0" w:firstColumn="1" w:lastColumn="0" w:noHBand="0" w:noVBand="1"/>
      </w:tblPr>
      <w:tblGrid>
        <w:gridCol w:w="2552"/>
        <w:gridCol w:w="1843"/>
        <w:gridCol w:w="5670"/>
        <w:gridCol w:w="5245"/>
      </w:tblGrid>
      <w:tr w:rsidR="00546645" w14:paraId="6652BD75" w14:textId="77777777" w:rsidTr="00065116">
        <w:trPr>
          <w:tblHeader/>
        </w:trPr>
        <w:tc>
          <w:tcPr>
            <w:tcW w:w="2552" w:type="dxa"/>
            <w:vAlign w:val="center"/>
          </w:tcPr>
          <w:p w14:paraId="2C2E6460" w14:textId="4692CF91" w:rsidR="00546645" w:rsidRPr="00EB40D8" w:rsidRDefault="00546645" w:rsidP="00EB40D8">
            <w:pPr>
              <w:pStyle w:val="NoSpacing"/>
              <w:jc w:val="center"/>
              <w:rPr>
                <w:b/>
                <w:bCs/>
                <w:sz w:val="26"/>
                <w:szCs w:val="26"/>
              </w:rPr>
            </w:pPr>
            <w:r w:rsidRPr="00EB40D8">
              <w:rPr>
                <w:b/>
                <w:bCs/>
                <w:sz w:val="26"/>
                <w:szCs w:val="26"/>
              </w:rPr>
              <w:t>CHÍNH SÁCH HOẶC NHÓM VẤN ĐỀ, ĐIỀU, KHOẢN</w:t>
            </w:r>
          </w:p>
        </w:tc>
        <w:tc>
          <w:tcPr>
            <w:tcW w:w="1843" w:type="dxa"/>
            <w:vAlign w:val="center"/>
          </w:tcPr>
          <w:p w14:paraId="0ACD930A" w14:textId="166182D3" w:rsidR="00546645" w:rsidRPr="00EB40D8" w:rsidRDefault="00546645" w:rsidP="00EB40D8">
            <w:pPr>
              <w:pStyle w:val="NoSpacing"/>
              <w:jc w:val="center"/>
              <w:rPr>
                <w:b/>
                <w:bCs/>
                <w:sz w:val="26"/>
                <w:szCs w:val="26"/>
              </w:rPr>
            </w:pPr>
            <w:r w:rsidRPr="00EB40D8">
              <w:rPr>
                <w:b/>
                <w:bCs/>
                <w:sz w:val="26"/>
                <w:szCs w:val="26"/>
              </w:rPr>
              <w:t>CHỦ THỂ GÓP Ý</w:t>
            </w:r>
          </w:p>
        </w:tc>
        <w:tc>
          <w:tcPr>
            <w:tcW w:w="5670" w:type="dxa"/>
            <w:vAlign w:val="center"/>
          </w:tcPr>
          <w:p w14:paraId="0B8EAA26" w14:textId="2C51BED4" w:rsidR="00546645" w:rsidRPr="00EB40D8" w:rsidRDefault="00546645" w:rsidP="00EB40D8">
            <w:pPr>
              <w:pStyle w:val="NoSpacing"/>
              <w:jc w:val="center"/>
              <w:rPr>
                <w:b/>
                <w:bCs/>
                <w:sz w:val="26"/>
                <w:szCs w:val="26"/>
              </w:rPr>
            </w:pPr>
            <w:r w:rsidRPr="00EB40D8">
              <w:rPr>
                <w:rFonts w:eastAsia="Times New Roman"/>
                <w:b/>
                <w:bCs/>
                <w:color w:val="000000"/>
                <w:kern w:val="0"/>
                <w:sz w:val="26"/>
                <w:szCs w:val="26"/>
                <w14:ligatures w14:val="none"/>
              </w:rPr>
              <w:t>NỘI DUNG GÓP Ý</w:t>
            </w:r>
          </w:p>
        </w:tc>
        <w:tc>
          <w:tcPr>
            <w:tcW w:w="5245" w:type="dxa"/>
            <w:vAlign w:val="center"/>
          </w:tcPr>
          <w:p w14:paraId="7B221A2A" w14:textId="4F4C41EF" w:rsidR="00546645" w:rsidRPr="00EB40D8" w:rsidRDefault="00546645" w:rsidP="00EB40D8">
            <w:pPr>
              <w:pStyle w:val="NoSpacing"/>
              <w:jc w:val="center"/>
              <w:rPr>
                <w:sz w:val="26"/>
                <w:szCs w:val="26"/>
              </w:rPr>
            </w:pPr>
            <w:r w:rsidRPr="00EB40D8">
              <w:rPr>
                <w:rFonts w:eastAsia="Times New Roman"/>
                <w:b/>
                <w:bCs/>
                <w:color w:val="000000"/>
                <w:kern w:val="0"/>
                <w:sz w:val="26"/>
                <w:szCs w:val="26"/>
                <w14:ligatures w14:val="none"/>
              </w:rPr>
              <w:t>NỘI DUNG TIẾP THU, GIẢI TRÌNH</w:t>
            </w:r>
          </w:p>
        </w:tc>
      </w:tr>
      <w:tr w:rsidR="007170F7" w14:paraId="4F3D86FE" w14:textId="77777777" w:rsidTr="00065116">
        <w:tc>
          <w:tcPr>
            <w:tcW w:w="2552" w:type="dxa"/>
            <w:vMerge w:val="restart"/>
            <w:vAlign w:val="center"/>
          </w:tcPr>
          <w:p w14:paraId="6771D3A4" w14:textId="77777777" w:rsidR="007170F7" w:rsidRDefault="007170F7" w:rsidP="007170F7">
            <w:pPr>
              <w:pStyle w:val="NoSpacing"/>
              <w:jc w:val="center"/>
              <w:rPr>
                <w:rFonts w:eastAsia="Times New Roman"/>
                <w:b/>
                <w:bCs/>
                <w:color w:val="000000"/>
                <w:kern w:val="0"/>
                <w:sz w:val="26"/>
                <w:szCs w:val="26"/>
                <w14:ligatures w14:val="none"/>
              </w:rPr>
            </w:pPr>
          </w:p>
          <w:p w14:paraId="39899F2D" w14:textId="77777777" w:rsidR="007170F7" w:rsidRDefault="007170F7" w:rsidP="007170F7">
            <w:pPr>
              <w:pStyle w:val="NoSpacing"/>
              <w:jc w:val="center"/>
              <w:rPr>
                <w:rFonts w:eastAsia="Times New Roman"/>
                <w:b/>
                <w:bCs/>
                <w:color w:val="000000"/>
                <w:kern w:val="0"/>
                <w:sz w:val="26"/>
                <w:szCs w:val="26"/>
                <w14:ligatures w14:val="none"/>
              </w:rPr>
            </w:pPr>
          </w:p>
          <w:p w14:paraId="2DA93B67" w14:textId="14D13923" w:rsidR="007170F7" w:rsidRPr="00546645" w:rsidRDefault="007170F7" w:rsidP="007170F7">
            <w:pPr>
              <w:pStyle w:val="NoSpacing"/>
              <w:jc w:val="center"/>
              <w:rPr>
                <w:b/>
                <w:bCs/>
              </w:rPr>
            </w:pPr>
            <w:r w:rsidRPr="00F139EB">
              <w:rPr>
                <w:rFonts w:eastAsia="Times New Roman"/>
                <w:b/>
                <w:bCs/>
                <w:color w:val="000000"/>
                <w:kern w:val="0"/>
                <w:sz w:val="26"/>
                <w:szCs w:val="26"/>
                <w14:ligatures w14:val="none"/>
              </w:rPr>
              <w:t>Điều 3: Phân cấp thẩm quyền</w:t>
            </w:r>
          </w:p>
        </w:tc>
        <w:tc>
          <w:tcPr>
            <w:tcW w:w="1843" w:type="dxa"/>
          </w:tcPr>
          <w:p w14:paraId="5058B901" w14:textId="7F67015A" w:rsidR="007170F7" w:rsidRPr="00546645" w:rsidRDefault="007170F7" w:rsidP="00065116">
            <w:pPr>
              <w:pStyle w:val="NoSpacing"/>
              <w:rPr>
                <w:b/>
                <w:bCs/>
              </w:rPr>
            </w:pPr>
            <w:r w:rsidRPr="003E67A3">
              <w:rPr>
                <w:rFonts w:eastAsia="Times New Roman"/>
                <w:color w:val="000000"/>
                <w:kern w:val="0"/>
                <w:sz w:val="26"/>
                <w:szCs w:val="26"/>
                <w14:ligatures w14:val="none"/>
              </w:rPr>
              <w:t xml:space="preserve">UBND Phường Thạch Khôi, </w:t>
            </w:r>
            <w:r w:rsidRPr="003E67A3">
              <w:rPr>
                <w:rFonts w:eastAsia="Times New Roman"/>
                <w:color w:val="000000"/>
                <w:kern w:val="0"/>
                <w:sz w:val="26"/>
                <w:szCs w:val="26"/>
                <w14:ligatures w14:val="none"/>
              </w:rPr>
              <w:br/>
            </w:r>
            <w:r w:rsidRPr="003E67A3">
              <w:rPr>
                <w:rFonts w:eastAsia="Times New Roman"/>
                <w:color w:val="000000"/>
                <w:kern w:val="0"/>
                <w:sz w:val="26"/>
                <w:szCs w:val="26"/>
                <w14:ligatures w14:val="none"/>
              </w:rPr>
              <w:br/>
              <w:t>Ban Thường trực Ủy ban MTTQ thành phố.</w:t>
            </w:r>
          </w:p>
        </w:tc>
        <w:tc>
          <w:tcPr>
            <w:tcW w:w="5670" w:type="dxa"/>
          </w:tcPr>
          <w:p w14:paraId="76BE4C5A" w14:textId="1811F0B5" w:rsidR="007170F7" w:rsidRPr="00546645" w:rsidRDefault="007170F7" w:rsidP="00EB40D8">
            <w:pPr>
              <w:pStyle w:val="NoSpacing"/>
              <w:jc w:val="both"/>
              <w:rPr>
                <w:rFonts w:eastAsia="Times New Roman"/>
                <w:b/>
                <w:bCs/>
                <w:color w:val="000000"/>
                <w:kern w:val="0"/>
                <w:sz w:val="26"/>
                <w:szCs w:val="26"/>
                <w14:ligatures w14:val="none"/>
              </w:rPr>
            </w:pPr>
            <w:r>
              <w:rPr>
                <w:rFonts w:eastAsia="Times New Roman"/>
                <w:color w:val="000000"/>
                <w:kern w:val="0"/>
                <w:sz w:val="26"/>
                <w:szCs w:val="26"/>
                <w14:ligatures w14:val="none"/>
              </w:rPr>
              <w:t xml:space="preserve">   </w:t>
            </w:r>
            <w:r w:rsidRPr="003E67A3">
              <w:rPr>
                <w:rFonts w:eastAsia="Times New Roman"/>
                <w:color w:val="000000"/>
                <w:kern w:val="0"/>
                <w:sz w:val="26"/>
                <w:szCs w:val="26"/>
                <w14:ligatures w14:val="none"/>
              </w:rPr>
              <w:t xml:space="preserve">Tại điểm c khoản 2 Điều 3 của Dự thảo: </w:t>
            </w:r>
            <w:r w:rsidRPr="003E67A3">
              <w:rPr>
                <w:rFonts w:eastAsia="Times New Roman"/>
                <w:i/>
                <w:iCs/>
                <w:color w:val="000000"/>
                <w:kern w:val="0"/>
                <w:sz w:val="26"/>
                <w:szCs w:val="26"/>
                <w14:ligatures w14:val="none"/>
              </w:rPr>
              <w:t>"Ủy ban nhân dân xã, phường quyết định phê duyệt phương án xử lý tài sản do Phòng Thi hành án dân sự khu vực chuyển giao đối với các vụ việc xảy ra trên địa bàn. Đối với tài sản là vật chứng vụ án, tài sản của người bị kết án bị tịch thu mà vụ việc xảy ra trên địa bàn nhiều xã, phường thì giao Ủy ban nhân dân xã, phường nơi có trụ sở Phòng Thi hành án dân sự khu vực phê duyệt phương án xử lý tài sản (trừ trường hợp quy định tại điểm a khoản 2 Điều này)"</w:t>
            </w:r>
            <w:r w:rsidRPr="003E67A3">
              <w:rPr>
                <w:rFonts w:eastAsia="Times New Roman"/>
                <w:color w:val="000000"/>
                <w:kern w:val="0"/>
                <w:sz w:val="26"/>
                <w:szCs w:val="26"/>
                <w14:ligatures w14:val="none"/>
              </w:rPr>
              <w:t xml:space="preserve"> </w:t>
            </w:r>
            <w:r w:rsidRPr="003E67A3">
              <w:rPr>
                <w:rFonts w:eastAsia="Times New Roman"/>
                <w:b/>
                <w:bCs/>
                <w:i/>
                <w:iCs/>
                <w:color w:val="000000"/>
                <w:kern w:val="0"/>
                <w:sz w:val="26"/>
                <w:szCs w:val="26"/>
                <w14:ligatures w14:val="none"/>
              </w:rPr>
              <w:t>đề nghị xem xét lại</w:t>
            </w:r>
            <w:r w:rsidRPr="003E67A3">
              <w:rPr>
                <w:rFonts w:eastAsia="Times New Roman"/>
                <w:color w:val="000000"/>
                <w:kern w:val="0"/>
                <w:sz w:val="26"/>
                <w:szCs w:val="26"/>
                <w14:ligatures w14:val="none"/>
              </w:rPr>
              <w:t xml:space="preserve"> việc phân cấp thẩm quyền cho UBND cấp xã ở nội dung này để bảo đảm tính khả thi và phù </w:t>
            </w:r>
            <w:r w:rsidRPr="003E67A3">
              <w:rPr>
                <w:rFonts w:eastAsia="Times New Roman"/>
                <w:color w:val="000000"/>
                <w:kern w:val="0"/>
                <w:sz w:val="26"/>
                <w:szCs w:val="26"/>
                <w14:ligatures w14:val="none"/>
              </w:rPr>
              <w:lastRenderedPageBreak/>
              <w:t>hợp với năng lực quản lý. Đề nghị quy định theo hướng: UBND thành phố quyết định phê duyệt phương án xử lý đối với các tài sản phức tạp, có giá trị lớn, quyền sử dụng đất và tài sản gắn liền với đất; UBND xã, phường được phân cấp quyết định đối với các tài sản thông thường, giá trị nhỏ</w:t>
            </w:r>
          </w:p>
        </w:tc>
        <w:tc>
          <w:tcPr>
            <w:tcW w:w="5245" w:type="dxa"/>
          </w:tcPr>
          <w:p w14:paraId="6F0A84A4" w14:textId="77777777" w:rsidR="007170F7" w:rsidRDefault="007170F7" w:rsidP="00EB40D8">
            <w:pPr>
              <w:jc w:val="both"/>
              <w:rPr>
                <w:rFonts w:eastAsia="Times New Roman"/>
                <w:color w:val="000000"/>
                <w:kern w:val="0"/>
                <w:sz w:val="26"/>
                <w:szCs w:val="26"/>
                <w14:ligatures w14:val="none"/>
              </w:rPr>
            </w:pPr>
            <w:r w:rsidRPr="003E67A3">
              <w:rPr>
                <w:rFonts w:eastAsia="Times New Roman"/>
                <w:color w:val="000000"/>
                <w:kern w:val="0"/>
                <w:sz w:val="26"/>
                <w:szCs w:val="26"/>
                <w14:ligatures w14:val="none"/>
              </w:rPr>
              <w:lastRenderedPageBreak/>
              <w:t xml:space="preserve">   Không tiếp thu, Lý do:</w:t>
            </w:r>
          </w:p>
          <w:p w14:paraId="292A7C25" w14:textId="77777777" w:rsidR="001D1DB3" w:rsidRDefault="007170F7" w:rsidP="00EB40D8">
            <w:pPr>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Pr="003E67A3">
              <w:rPr>
                <w:rFonts w:eastAsia="Times New Roman"/>
                <w:color w:val="000000"/>
                <w:kern w:val="0"/>
                <w:sz w:val="26"/>
                <w:szCs w:val="26"/>
                <w14:ligatures w14:val="none"/>
              </w:rPr>
              <w:t xml:space="preserve">Để tiếp tục thể chế hoá đầy đủ quan điểm chủ trương của Đảng phân cấp phân quyền triệt để cho chính quyền địa phương trên tất cả các lĩnh vực, bảo đảm thực hiện đúng phương châm Kết luận số 21/KL/TW ngày 24/1/2025 của Ban Chấp hành Trung ương Đảng khoá XIII về việc tổng kết Nghị quyết số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w:t>
            </w:r>
            <w:r w:rsidRPr="003E67A3">
              <w:rPr>
                <w:rFonts w:eastAsia="Times New Roman"/>
                <w:color w:val="000000"/>
                <w:kern w:val="0"/>
                <w:sz w:val="26"/>
                <w:szCs w:val="26"/>
                <w14:ligatures w14:val="none"/>
              </w:rPr>
              <w:lastRenderedPageBreak/>
              <w:t>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018F8C81" w14:textId="5DE95E3F" w:rsidR="007170F7" w:rsidRDefault="007170F7" w:rsidP="00EB40D8">
            <w:pPr>
              <w:jc w:val="both"/>
              <w:rPr>
                <w:rFonts w:eastAsia="Times New Roman"/>
                <w:color w:val="000000"/>
                <w:kern w:val="0"/>
                <w:sz w:val="26"/>
                <w:szCs w:val="26"/>
                <w14:ligatures w14:val="none"/>
              </w:rPr>
            </w:pPr>
            <w:r w:rsidRPr="003E67A3">
              <w:rPr>
                <w:rFonts w:eastAsia="Times New Roman"/>
                <w:color w:val="000000"/>
                <w:kern w:val="0"/>
                <w:sz w:val="26"/>
                <w:szCs w:val="26"/>
                <w14:ligatures w14:val="none"/>
              </w:rPr>
              <w:t xml:space="preserve">    Sau khi sáp nhập số đơn vị hành chính cấp xã là rất lớn: 114 đơn vị, do vậy nếu không phân cấp kịp thời có thể ảnh hưởng đến việc triển khai nhiệm vụ của các đơn vị, không cắt giảm được thủ tục hành chính, không tạo thuận lợi, chủ động cho các cơ quan, tổ chức, đơn vị. Hơn nữa, hiện nay một số cán bộ cấp Sở được tăng cường điều động về cấp xã để bổ sung, tăng cường trong việc phối hợp xủ lý vụ việc, do vậy việc phân cấp thẩm quyền cho UBND cấp xã là phù hợp với năng lực quản lý.</w:t>
            </w:r>
          </w:p>
          <w:p w14:paraId="7D841599" w14:textId="7B0DED54" w:rsidR="007170F7" w:rsidRPr="00546645" w:rsidRDefault="007170F7" w:rsidP="00EB40D8">
            <w:pPr>
              <w:pStyle w:val="NoSpacing"/>
              <w:jc w:val="both"/>
              <w:rPr>
                <w:rFonts w:eastAsia="Times New Roman"/>
                <w:b/>
                <w:bCs/>
                <w:color w:val="000000"/>
                <w:kern w:val="0"/>
                <w:sz w:val="26"/>
                <w:szCs w:val="26"/>
                <w14:ligatures w14:val="none"/>
              </w:rPr>
            </w:pPr>
            <w:r>
              <w:rPr>
                <w:rFonts w:eastAsia="Times New Roman"/>
                <w:color w:val="000000"/>
                <w:kern w:val="0"/>
                <w:sz w:val="26"/>
                <w:szCs w:val="26"/>
                <w14:ligatures w14:val="none"/>
              </w:rPr>
              <w:t xml:space="preserve">  </w:t>
            </w:r>
            <w:r w:rsidRPr="003E67A3">
              <w:rPr>
                <w:rFonts w:eastAsia="Times New Roman"/>
                <w:color w:val="000000"/>
                <w:kern w:val="0"/>
                <w:sz w:val="26"/>
                <w:szCs w:val="26"/>
                <w14:ligatures w14:val="none"/>
              </w:rPr>
              <w:t xml:space="preserve">Để đảm bảo sự thống nhất trong việc thực hiện phân cấp thẩm quyền xác lập, phê duyệt phương án xử lý tài sản được xác lập quyền sở hữu toàn dân thuộc phạm vi quản lý của thành phố Hải Phòng (sau sáp nhập) và đẩy mạnh phân cấp cho các cơ quan, đơn vị để tăng cường tính chủ động trong việc thực hiện nhiệm vụ, đảm bảo việc triển khai nhiệm vụ được thông suốt, hiệu quả, </w:t>
            </w:r>
            <w:r w:rsidRPr="003E67A3">
              <w:rPr>
                <w:rFonts w:eastAsia="Times New Roman"/>
                <w:color w:val="000000"/>
                <w:kern w:val="0"/>
                <w:sz w:val="26"/>
                <w:szCs w:val="26"/>
                <w14:ligatures w14:val="none"/>
              </w:rPr>
              <w:lastRenderedPageBreak/>
              <w:t>kịp thời, cải cách tối đa thủ tục hành chính, giảm chi phí, tạo thuận lợi cao nhất cho các đơn vị thì việc phân cấp cho Ủy ban nhân dân xã, phường nơi có trụ sở Phòng Thi hành án dân sự khu vực phê duyệt phương án xử lý tài sản được xác lập sở hữu toàn dân là phù hợp với quy định hiện hành, đảm bảo sự thống nhất thực hiện trong toàn thành phố.</w:t>
            </w:r>
          </w:p>
        </w:tc>
      </w:tr>
      <w:tr w:rsidR="007170F7" w14:paraId="52B44AB6" w14:textId="77777777" w:rsidTr="005C36D9">
        <w:trPr>
          <w:trHeight w:val="5738"/>
        </w:trPr>
        <w:tc>
          <w:tcPr>
            <w:tcW w:w="2552" w:type="dxa"/>
            <w:vMerge/>
          </w:tcPr>
          <w:p w14:paraId="069295D4" w14:textId="77777777" w:rsidR="007170F7" w:rsidRDefault="007170F7" w:rsidP="007170F7">
            <w:pPr>
              <w:pStyle w:val="NoSpacing"/>
              <w:jc w:val="both"/>
              <w:rPr>
                <w:rFonts w:eastAsia="Times New Roman"/>
                <w:b/>
                <w:bCs/>
                <w:color w:val="000000"/>
                <w:kern w:val="0"/>
                <w:sz w:val="26"/>
                <w:szCs w:val="26"/>
                <w14:ligatures w14:val="none"/>
              </w:rPr>
            </w:pPr>
          </w:p>
        </w:tc>
        <w:tc>
          <w:tcPr>
            <w:tcW w:w="1843" w:type="dxa"/>
          </w:tcPr>
          <w:p w14:paraId="0110D440" w14:textId="77777777" w:rsidR="007170F7" w:rsidRDefault="007170F7" w:rsidP="00065116">
            <w:pPr>
              <w:rPr>
                <w:rFonts w:eastAsia="Times New Roman"/>
                <w:color w:val="000000"/>
                <w:kern w:val="0"/>
                <w:sz w:val="26"/>
                <w:szCs w:val="26"/>
                <w14:ligatures w14:val="none"/>
              </w:rPr>
            </w:pPr>
            <w:r w:rsidRPr="003E67A3">
              <w:rPr>
                <w:rFonts w:eastAsia="Times New Roman"/>
                <w:color w:val="000000"/>
                <w:kern w:val="0"/>
                <w:sz w:val="26"/>
                <w:szCs w:val="26"/>
                <w14:ligatures w14:val="none"/>
              </w:rPr>
              <w:t xml:space="preserve">UBND Phường Thạch Khôi, </w:t>
            </w:r>
          </w:p>
          <w:p w14:paraId="7DAB45E1" w14:textId="77777777" w:rsidR="007170F7" w:rsidRDefault="007170F7" w:rsidP="00065116">
            <w:pPr>
              <w:rPr>
                <w:rFonts w:eastAsia="Times New Roman"/>
                <w:color w:val="000000"/>
                <w:kern w:val="0"/>
                <w:sz w:val="26"/>
                <w:szCs w:val="26"/>
                <w14:ligatures w14:val="none"/>
              </w:rPr>
            </w:pPr>
          </w:p>
          <w:p w14:paraId="408AAB1A" w14:textId="2EA4D681" w:rsidR="007170F7" w:rsidRPr="003E67A3" w:rsidRDefault="007170F7" w:rsidP="00065116">
            <w:pPr>
              <w:pStyle w:val="NoSpacing"/>
              <w:rPr>
                <w:rFonts w:eastAsia="Times New Roman"/>
                <w:color w:val="000000"/>
                <w:kern w:val="0"/>
                <w:sz w:val="26"/>
                <w:szCs w:val="26"/>
                <w14:ligatures w14:val="none"/>
              </w:rPr>
            </w:pPr>
            <w:r>
              <w:rPr>
                <w:rFonts w:eastAsia="Times New Roman"/>
                <w:color w:val="000000"/>
                <w:kern w:val="0"/>
                <w:sz w:val="26"/>
                <w:szCs w:val="26"/>
                <w14:ligatures w14:val="none"/>
              </w:rPr>
              <w:t>UBND Phường Ái Quốc</w:t>
            </w:r>
            <w:r w:rsidRPr="003E67A3">
              <w:rPr>
                <w:rFonts w:eastAsia="Times New Roman"/>
                <w:color w:val="000000"/>
                <w:kern w:val="0"/>
                <w:sz w:val="26"/>
                <w:szCs w:val="26"/>
                <w14:ligatures w14:val="none"/>
              </w:rPr>
              <w:br/>
            </w:r>
            <w:r w:rsidRPr="003E67A3">
              <w:rPr>
                <w:rFonts w:eastAsia="Times New Roman"/>
                <w:color w:val="000000"/>
                <w:kern w:val="0"/>
                <w:sz w:val="26"/>
                <w:szCs w:val="26"/>
                <w14:ligatures w14:val="none"/>
              </w:rPr>
              <w:br/>
              <w:t>Ban Thường trực Ủy ban MTTQ thành phố.</w:t>
            </w:r>
          </w:p>
        </w:tc>
        <w:tc>
          <w:tcPr>
            <w:tcW w:w="5670" w:type="dxa"/>
          </w:tcPr>
          <w:p w14:paraId="22D2CA0E" w14:textId="69A30447" w:rsidR="007170F7" w:rsidRDefault="007170F7" w:rsidP="007170F7">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Pr="003E67A3">
              <w:rPr>
                <w:rFonts w:eastAsia="Times New Roman"/>
                <w:color w:val="000000"/>
                <w:kern w:val="0"/>
                <w:sz w:val="26"/>
                <w:szCs w:val="26"/>
                <w14:ligatures w14:val="none"/>
              </w:rPr>
              <w:t>Tại Điều 4 (Khoán chi phí): Quy định tỷ lệ khoán chi phí quản lý, xử lý tài sản bằng 40% số tiền thu được từ xử lý là mức khá cao. Đề nghị làm rõ cơ sở pháp lý của việc xác định tỷ lệ này và có báo cáo đánh giá tác động; đồng thời xem xét điều chỉnh cho phù hợp với thực tiễn quản lý và khả năng cân đối ngân sách</w:t>
            </w:r>
          </w:p>
        </w:tc>
        <w:tc>
          <w:tcPr>
            <w:tcW w:w="5245" w:type="dxa"/>
          </w:tcPr>
          <w:p w14:paraId="4224A0F7" w14:textId="77777777" w:rsidR="007170F7" w:rsidRDefault="007170F7" w:rsidP="007170F7">
            <w:pPr>
              <w:jc w:val="both"/>
              <w:rPr>
                <w:rFonts w:eastAsia="Times New Roman"/>
                <w:color w:val="000000"/>
                <w:kern w:val="0"/>
                <w:sz w:val="26"/>
                <w:szCs w:val="26"/>
                <w14:ligatures w14:val="none"/>
              </w:rPr>
            </w:pPr>
            <w:r w:rsidRPr="003E67A3">
              <w:rPr>
                <w:rFonts w:eastAsia="Times New Roman"/>
                <w:color w:val="000000"/>
                <w:kern w:val="0"/>
                <w:sz w:val="26"/>
                <w:szCs w:val="26"/>
                <w14:ligatures w14:val="none"/>
              </w:rPr>
              <w:t xml:space="preserve"> Không tiếp thu, Lý do:</w:t>
            </w:r>
          </w:p>
          <w:p w14:paraId="0B9E4B1D" w14:textId="312343E2" w:rsidR="007170F7" w:rsidRPr="003E67A3" w:rsidRDefault="007170F7" w:rsidP="007170F7">
            <w:pPr>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Pr="003E67A3">
              <w:rPr>
                <w:rFonts w:eastAsia="Times New Roman"/>
                <w:color w:val="000000"/>
                <w:kern w:val="0"/>
                <w:sz w:val="26"/>
                <w:szCs w:val="26"/>
                <w14:ligatures w14:val="none"/>
              </w:rPr>
              <w:t xml:space="preserve">Khoản 3 Điều 97 Nghị định 77/2025/NĐ-CP ngày 01/4/2025 quy định: </w:t>
            </w:r>
            <w:r w:rsidRPr="003E67A3">
              <w:rPr>
                <w:rFonts w:eastAsia="Times New Roman"/>
                <w:i/>
                <w:iCs/>
                <w:color w:val="000000"/>
                <w:kern w:val="0"/>
                <w:sz w:val="26"/>
                <w:szCs w:val="26"/>
                <w14:ligatures w14:val="none"/>
              </w:rPr>
              <w:t xml:space="preserve">"...Đối với tài sản là tang vật, phương tiện vi phạm hành chính bị tịch thu, căn cứ vào tình hình thực tế quản lý, xử lý tài sản được xác lập quyền sở hữu toàn dân, Bộ trưởng, Thủ trưởng cơ quan trung ương, Ủy ban nhân dân cấp tỉnh quy định tỷ lệ (mức) khoán chi phí quản lý, xử lý tài sản được xác lập quyền sở hữu toàn dân trên số tiền thu được từ xử lý tài sản cho đơn vị chủ trì quản lý tài sản thuộc phạm vi quản lý của bộ, ngành, địa phương để áp dụng thống nhất. </w:t>
            </w:r>
            <w:r w:rsidRPr="003E67A3">
              <w:rPr>
                <w:rFonts w:eastAsia="Times New Roman"/>
                <w:b/>
                <w:bCs/>
                <w:i/>
                <w:iCs/>
                <w:color w:val="000000"/>
                <w:kern w:val="0"/>
                <w:sz w:val="26"/>
                <w:szCs w:val="26"/>
                <w:u w:val="single"/>
                <w14:ligatures w14:val="none"/>
              </w:rPr>
              <w:t>Mức khoán tối đa không vượt quá 40% số tiền thu được từ xử lý tài sản được xác lập quyền sở hữu toàn dân;</w:t>
            </w:r>
            <w:r w:rsidRPr="003E67A3">
              <w:rPr>
                <w:rFonts w:eastAsia="Times New Roman"/>
                <w:i/>
                <w:iCs/>
                <w:color w:val="000000"/>
                <w:kern w:val="0"/>
                <w:sz w:val="26"/>
                <w:szCs w:val="26"/>
                <w14:ligatures w14:val="none"/>
              </w:rPr>
              <w:t xml:space="preserve"> đơn vị chủ trì quản lý tài sản được chủ động sử dụng chi phí được khoán để chi cho các nội dung theo quy định, trường hợp không sử dụng hết kinh phí khoán thì phải hoàn trả ngân sách nhà nước theo quy định..."</w:t>
            </w:r>
          </w:p>
        </w:tc>
      </w:tr>
      <w:tr w:rsidR="00EB7947" w14:paraId="644B4584" w14:textId="77777777" w:rsidTr="00B1505C">
        <w:trPr>
          <w:trHeight w:val="1632"/>
        </w:trPr>
        <w:tc>
          <w:tcPr>
            <w:tcW w:w="2552" w:type="dxa"/>
          </w:tcPr>
          <w:p w14:paraId="3B156431" w14:textId="77777777" w:rsidR="00EB7947" w:rsidRDefault="00EB7947" w:rsidP="007170F7">
            <w:pPr>
              <w:pStyle w:val="NoSpacing"/>
              <w:jc w:val="both"/>
              <w:rPr>
                <w:rFonts w:eastAsia="Times New Roman"/>
                <w:b/>
                <w:bCs/>
                <w:color w:val="000000"/>
                <w:kern w:val="0"/>
                <w:sz w:val="26"/>
                <w:szCs w:val="26"/>
                <w14:ligatures w14:val="none"/>
              </w:rPr>
            </w:pPr>
          </w:p>
        </w:tc>
        <w:tc>
          <w:tcPr>
            <w:tcW w:w="1843" w:type="dxa"/>
            <w:vAlign w:val="center"/>
          </w:tcPr>
          <w:p w14:paraId="3EB1730F" w14:textId="5A8AC4F9" w:rsidR="00EB7947" w:rsidRPr="003E67A3" w:rsidRDefault="00EB7947" w:rsidP="00D005A7">
            <w:pPr>
              <w:jc w:val="center"/>
              <w:rPr>
                <w:rFonts w:eastAsia="Times New Roman"/>
                <w:color w:val="000000"/>
                <w:kern w:val="0"/>
                <w:sz w:val="26"/>
                <w:szCs w:val="26"/>
                <w14:ligatures w14:val="none"/>
              </w:rPr>
            </w:pPr>
            <w:r>
              <w:rPr>
                <w:rFonts w:eastAsia="Times New Roman"/>
                <w:color w:val="000000"/>
                <w:kern w:val="0"/>
                <w:sz w:val="26"/>
                <w:szCs w:val="26"/>
                <w14:ligatures w14:val="none"/>
              </w:rPr>
              <w:t>Sở Tư pháp</w:t>
            </w:r>
          </w:p>
        </w:tc>
        <w:tc>
          <w:tcPr>
            <w:tcW w:w="5670" w:type="dxa"/>
          </w:tcPr>
          <w:p w14:paraId="70F93F68" w14:textId="77777777" w:rsidR="00EB7947" w:rsidRPr="001B748A" w:rsidRDefault="00EB7947" w:rsidP="00EB7947">
            <w:pPr>
              <w:pStyle w:val="NoSpacing"/>
              <w:jc w:val="both"/>
              <w:rPr>
                <w:rFonts w:eastAsia="Times New Roman"/>
                <w:b/>
                <w:bCs/>
                <w:color w:val="000000"/>
                <w:kern w:val="0"/>
                <w:sz w:val="26"/>
                <w:szCs w:val="26"/>
                <w14:ligatures w14:val="none"/>
              </w:rPr>
            </w:pPr>
            <w:r w:rsidRPr="001B748A">
              <w:rPr>
                <w:rFonts w:eastAsia="Times New Roman"/>
                <w:b/>
                <w:bCs/>
                <w:color w:val="000000"/>
                <w:kern w:val="0"/>
                <w:sz w:val="26"/>
                <w:szCs w:val="26"/>
                <w14:ligatures w14:val="none"/>
              </w:rPr>
              <w:t>1. Về phạm vi điều chỉnh và đối tượng áp dụng</w:t>
            </w:r>
          </w:p>
          <w:p w14:paraId="2502776A" w14:textId="0C2E933B" w:rsidR="00EB7947" w:rsidRPr="00EB7947" w:rsidRDefault="00EB7947" w:rsidP="00EB7947">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001B748A">
              <w:rPr>
                <w:rFonts w:eastAsia="Times New Roman"/>
                <w:color w:val="000000"/>
                <w:kern w:val="0"/>
                <w:sz w:val="26"/>
                <w:szCs w:val="26"/>
                <w14:ligatures w14:val="none"/>
              </w:rPr>
              <w:t xml:space="preserve"> </w:t>
            </w:r>
            <w:r w:rsidRPr="00EB7947">
              <w:rPr>
                <w:rFonts w:eastAsia="Times New Roman"/>
                <w:color w:val="000000"/>
                <w:kern w:val="0"/>
                <w:sz w:val="26"/>
                <w:szCs w:val="26"/>
                <w14:ligatures w14:val="none"/>
              </w:rPr>
              <w:t>Về đối tượng áp dụng (Điều 2 dự thảo)</w:t>
            </w:r>
          </w:p>
          <w:p w14:paraId="6AABDB79" w14:textId="7547932F" w:rsidR="00EB7947" w:rsidRPr="00EB7947" w:rsidRDefault="00954C1C" w:rsidP="00EB7947">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00EB7947" w:rsidRPr="00EB7947">
              <w:rPr>
                <w:rFonts w:eastAsia="Times New Roman"/>
                <w:color w:val="000000"/>
                <w:kern w:val="0"/>
                <w:sz w:val="26"/>
                <w:szCs w:val="26"/>
                <w14:ligatures w14:val="none"/>
              </w:rPr>
              <w:t xml:space="preserve">- Khoản 1 Điều 2 về đối tượng áp dụng: </w:t>
            </w:r>
          </w:p>
          <w:p w14:paraId="5E0F931D" w14:textId="3457D9BB" w:rsidR="00EB7947" w:rsidRDefault="00EB7947" w:rsidP="00EB7947">
            <w:pPr>
              <w:pStyle w:val="NoSpacing"/>
              <w:jc w:val="both"/>
              <w:rPr>
                <w:rFonts w:eastAsia="Times New Roman"/>
                <w:i/>
                <w:iCs/>
                <w:color w:val="000000"/>
                <w:kern w:val="0"/>
                <w:sz w:val="26"/>
                <w:szCs w:val="26"/>
                <w14:ligatures w14:val="none"/>
              </w:rPr>
            </w:pPr>
            <w:r w:rsidRPr="00EB7947">
              <w:rPr>
                <w:rFonts w:eastAsia="Times New Roman"/>
                <w:i/>
                <w:iCs/>
                <w:color w:val="000000"/>
                <w:kern w:val="0"/>
                <w:sz w:val="26"/>
                <w:szCs w:val="26"/>
                <w14:ligatures w14:val="none"/>
              </w:rPr>
              <w:t>“Cơ quan, người có thẩm quyền xác lập quyền sở hữu toàn dân về tài sản và quyết định phê duyệt phương án xử lý tài sản được xác lập quyền sở hữu toàn dân”.</w:t>
            </w:r>
          </w:p>
          <w:p w14:paraId="0C2D5B0D" w14:textId="77777777" w:rsidR="00954C1C" w:rsidRPr="00EB7947" w:rsidRDefault="00954C1C" w:rsidP="00EB7947">
            <w:pPr>
              <w:pStyle w:val="NoSpacing"/>
              <w:jc w:val="both"/>
              <w:rPr>
                <w:rFonts w:eastAsia="Times New Roman"/>
                <w:i/>
                <w:iCs/>
                <w:color w:val="000000"/>
                <w:kern w:val="0"/>
                <w:sz w:val="26"/>
                <w:szCs w:val="26"/>
                <w14:ligatures w14:val="none"/>
              </w:rPr>
            </w:pPr>
          </w:p>
          <w:p w14:paraId="35251818" w14:textId="022B7D08" w:rsidR="00EB7947" w:rsidRPr="00EB7947" w:rsidRDefault="00954C1C" w:rsidP="00EB7947">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00EB7947" w:rsidRPr="00EB7947">
              <w:rPr>
                <w:rFonts w:eastAsia="Times New Roman"/>
                <w:color w:val="000000"/>
                <w:kern w:val="0"/>
                <w:sz w:val="26"/>
                <w:szCs w:val="26"/>
                <w14:ligatures w14:val="none"/>
              </w:rPr>
              <w:t>- Khoản 3 Điều 2 về đối tượng áp dụng quy định:</w:t>
            </w:r>
          </w:p>
          <w:p w14:paraId="6B1A1533" w14:textId="5968426B" w:rsidR="00EB7947" w:rsidRDefault="00EB7947" w:rsidP="00EB7947">
            <w:pPr>
              <w:pStyle w:val="NoSpacing"/>
              <w:jc w:val="both"/>
              <w:rPr>
                <w:rFonts w:eastAsia="Times New Roman"/>
                <w:color w:val="000000"/>
                <w:kern w:val="0"/>
                <w:sz w:val="26"/>
                <w:szCs w:val="26"/>
                <w14:ligatures w14:val="none"/>
              </w:rPr>
            </w:pPr>
            <w:r w:rsidRPr="00EB7947">
              <w:rPr>
                <w:rFonts w:eastAsia="Times New Roman"/>
                <w:color w:val="000000"/>
                <w:kern w:val="0"/>
                <w:sz w:val="26"/>
                <w:szCs w:val="26"/>
                <w14:ligatures w14:val="none"/>
              </w:rPr>
              <w:t>“Cơ quan được giao thực hiện nhiệm vụ quản lý tài sản công quy định tại khoản 2 Điều 8 Luật số 90/2025/QH15 ngày 25/6/2025”</w:t>
            </w:r>
          </w:p>
          <w:p w14:paraId="0B974509" w14:textId="77777777" w:rsidR="001B748A" w:rsidRDefault="001B748A" w:rsidP="00EB7947">
            <w:pPr>
              <w:pStyle w:val="NoSpacing"/>
              <w:jc w:val="both"/>
              <w:rPr>
                <w:rFonts w:eastAsia="Times New Roman"/>
                <w:color w:val="000000"/>
                <w:kern w:val="0"/>
                <w:sz w:val="26"/>
                <w:szCs w:val="26"/>
                <w14:ligatures w14:val="none"/>
              </w:rPr>
            </w:pPr>
          </w:p>
          <w:p w14:paraId="47D8F906" w14:textId="77777777" w:rsidR="001B748A" w:rsidRDefault="001B748A" w:rsidP="00EB7947">
            <w:pPr>
              <w:pStyle w:val="NoSpacing"/>
              <w:jc w:val="both"/>
              <w:rPr>
                <w:rFonts w:eastAsia="Times New Roman"/>
                <w:color w:val="000000"/>
                <w:kern w:val="0"/>
                <w:sz w:val="26"/>
                <w:szCs w:val="26"/>
                <w14:ligatures w14:val="none"/>
              </w:rPr>
            </w:pPr>
          </w:p>
          <w:p w14:paraId="5A7A89F4" w14:textId="77777777" w:rsidR="001B748A" w:rsidRDefault="001B748A" w:rsidP="00EB7947">
            <w:pPr>
              <w:pStyle w:val="NoSpacing"/>
              <w:jc w:val="both"/>
              <w:rPr>
                <w:rFonts w:eastAsia="Times New Roman"/>
                <w:color w:val="000000"/>
                <w:kern w:val="0"/>
                <w:sz w:val="26"/>
                <w:szCs w:val="26"/>
                <w14:ligatures w14:val="none"/>
              </w:rPr>
            </w:pPr>
          </w:p>
          <w:p w14:paraId="0993DA16" w14:textId="08222123" w:rsidR="001B748A" w:rsidRPr="001B748A" w:rsidRDefault="001B748A" w:rsidP="00EB7947">
            <w:pPr>
              <w:pStyle w:val="NoSpacing"/>
              <w:jc w:val="both"/>
              <w:rPr>
                <w:rFonts w:eastAsia="Times New Roman"/>
                <w:color w:val="000000"/>
                <w:kern w:val="0"/>
                <w:sz w:val="26"/>
                <w:szCs w:val="26"/>
                <w14:ligatures w14:val="none"/>
              </w:rPr>
            </w:pPr>
            <w:r w:rsidRPr="001B748A">
              <w:rPr>
                <w:b/>
                <w:bCs/>
                <w:sz w:val="26"/>
                <w:szCs w:val="26"/>
              </w:rPr>
              <w:t>2. Tính hợp hiến, hợp pháp và thống nhất của Dự thảo</w:t>
            </w:r>
          </w:p>
          <w:p w14:paraId="58E773CA" w14:textId="2A58F4ED" w:rsidR="001B748A" w:rsidRPr="001B748A" w:rsidRDefault="001B748A" w:rsidP="001B748A">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Pr="001B748A">
              <w:rPr>
                <w:rFonts w:eastAsia="Times New Roman"/>
                <w:color w:val="000000"/>
                <w:kern w:val="0"/>
                <w:sz w:val="26"/>
                <w:szCs w:val="26"/>
                <w14:ligatures w14:val="none"/>
              </w:rPr>
              <w:t>- Điểm c khoản 1 Điều 3 về phân cấp thẩm quyền quyết định phê duyệt phướng án xử lý tài sản đối với tài sản là tang vật, phương tiện vi phạm hành chính bị tịch thu do người có thẩm quyền thuộc phạm vi quản lý của địa phương ra quyết định tịch thu quy định: “</w:t>
            </w:r>
            <w:r w:rsidRPr="00E3409E">
              <w:rPr>
                <w:rFonts w:eastAsia="Times New Roman"/>
                <w:i/>
                <w:iCs/>
                <w:color w:val="000000"/>
                <w:kern w:val="0"/>
                <w:sz w:val="26"/>
                <w:szCs w:val="26"/>
                <w14:ligatures w14:val="none"/>
              </w:rPr>
              <w:t>Các cơ quan, đơn vị trực thuộc cơ quan trung ương đóng trên địa bàn thành phố…”</w:t>
            </w:r>
            <w:r w:rsidRPr="001B748A">
              <w:rPr>
                <w:rFonts w:eastAsia="Times New Roman"/>
                <w:color w:val="000000"/>
                <w:kern w:val="0"/>
                <w:sz w:val="26"/>
                <w:szCs w:val="26"/>
                <w14:ligatures w14:val="none"/>
              </w:rPr>
              <w:t xml:space="preserve"> là không phù hợp với quy định tại khoản 1 Điều 13 Luật Tổ chức chính quyền địa phương số 72/2025/QH15. </w:t>
            </w:r>
          </w:p>
          <w:p w14:paraId="4251E120" w14:textId="5E09B84F" w:rsidR="001B748A" w:rsidRPr="001B748A" w:rsidRDefault="001B748A" w:rsidP="001B748A">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Pr="001B748A">
              <w:rPr>
                <w:rFonts w:eastAsia="Times New Roman"/>
                <w:color w:val="000000"/>
                <w:kern w:val="0"/>
                <w:sz w:val="26"/>
                <w:szCs w:val="26"/>
                <w14:ligatures w14:val="none"/>
              </w:rPr>
              <w:t xml:space="preserve">- Việc quy định </w:t>
            </w:r>
            <w:r w:rsidRPr="00E3409E">
              <w:rPr>
                <w:rFonts w:eastAsia="Times New Roman"/>
                <w:i/>
                <w:iCs/>
                <w:color w:val="000000"/>
                <w:kern w:val="0"/>
                <w:sz w:val="26"/>
                <w:szCs w:val="26"/>
                <w14:ligatures w14:val="none"/>
              </w:rPr>
              <w:t xml:space="preserve">“…Ủy ban nhân dân các xã, phường, đặc khu quyết định phê duyệt phương án xử lý đối với tài sản thuộc thẩm quyền của các cơ quan, </w:t>
            </w:r>
            <w:r w:rsidRPr="00E3409E">
              <w:rPr>
                <w:rFonts w:eastAsia="Times New Roman"/>
                <w:i/>
                <w:iCs/>
                <w:color w:val="000000"/>
                <w:kern w:val="0"/>
                <w:sz w:val="26"/>
                <w:szCs w:val="26"/>
                <w14:ligatures w14:val="none"/>
              </w:rPr>
              <w:lastRenderedPageBreak/>
              <w:t>đơn vị trực thuộc cơ quan trung ương đóng trên địa bàn thành phố; Ủy ban nhân dân các xã, phường, đặc khu ban hành quyết định tịch thu”</w:t>
            </w:r>
            <w:r w:rsidRPr="001B748A">
              <w:rPr>
                <w:rFonts w:eastAsia="Times New Roman"/>
                <w:color w:val="000000"/>
                <w:kern w:val="0"/>
                <w:sz w:val="26"/>
                <w:szCs w:val="26"/>
                <w14:ligatures w14:val="none"/>
              </w:rPr>
              <w:t xml:space="preserve"> như dự thảo là chưa rõ ràng, có thể hiểu theo hướng Ủy ban nhân dân cấp xã có thẩm quyền phê duyệt phương án xử lý tài sản đối với tài sản thuộc thẩm quyền của các cơ quan trung ương đóng trên địa bàn thành phố.</w:t>
            </w:r>
            <w:r w:rsidRPr="001B748A">
              <w:rPr>
                <w:rFonts w:eastAsia="Times New Roman"/>
                <w:color w:val="000000"/>
                <w:kern w:val="0"/>
                <w:sz w:val="26"/>
                <w:szCs w:val="26"/>
                <w14:ligatures w14:val="none"/>
              </w:rPr>
              <w:tab/>
            </w:r>
          </w:p>
          <w:p w14:paraId="62AC467A" w14:textId="29CB2B04" w:rsidR="00EB7947" w:rsidRPr="00EB7947" w:rsidRDefault="001B748A" w:rsidP="001B748A">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Pr="001B748A">
              <w:rPr>
                <w:rFonts w:eastAsia="Times New Roman"/>
                <w:color w:val="000000"/>
                <w:kern w:val="0"/>
                <w:sz w:val="26"/>
                <w:szCs w:val="26"/>
                <w14:ligatures w14:val="none"/>
              </w:rPr>
              <w:t>- Đối với nội dung phân cấp thẩm quyền phê duyệt phương án xử lý tài sản theo các hình thức khác nhau được quy định tại Điều 8 Nghị định 77/2025/NĐ-CP, đề nghị Sở Tài chính giải trình, báo cáo.</w:t>
            </w:r>
          </w:p>
          <w:p w14:paraId="3278D1B8" w14:textId="77777777" w:rsidR="00EB7947" w:rsidRDefault="00EB7947" w:rsidP="00EB7947">
            <w:pPr>
              <w:pStyle w:val="NoSpacing"/>
              <w:jc w:val="both"/>
              <w:rPr>
                <w:rFonts w:eastAsia="Times New Roman"/>
                <w:color w:val="000000"/>
                <w:kern w:val="0"/>
                <w:sz w:val="26"/>
                <w:szCs w:val="26"/>
                <w14:ligatures w14:val="none"/>
              </w:rPr>
            </w:pPr>
          </w:p>
          <w:p w14:paraId="1F071113" w14:textId="77777777" w:rsidR="00D005A7" w:rsidRPr="0079126D" w:rsidRDefault="00D005A7" w:rsidP="00D005A7">
            <w:pPr>
              <w:pStyle w:val="NoSpacing"/>
              <w:jc w:val="both"/>
              <w:rPr>
                <w:rFonts w:eastAsia="Times New Roman"/>
                <w:b/>
                <w:bCs/>
                <w:color w:val="000000"/>
                <w:kern w:val="0"/>
                <w:sz w:val="26"/>
                <w:szCs w:val="26"/>
                <w14:ligatures w14:val="none"/>
              </w:rPr>
            </w:pPr>
            <w:r w:rsidRPr="0079126D">
              <w:rPr>
                <w:rFonts w:eastAsia="Times New Roman"/>
                <w:b/>
                <w:bCs/>
                <w:color w:val="000000"/>
                <w:kern w:val="0"/>
                <w:sz w:val="26"/>
                <w:szCs w:val="26"/>
                <w14:ligatures w14:val="none"/>
              </w:rPr>
              <w:t>3. Về ngôn ngữ, kỹ thuật soạn thảo</w:t>
            </w:r>
          </w:p>
          <w:p w14:paraId="6D26D6BF" w14:textId="7CF25F14" w:rsidR="00D005A7" w:rsidRDefault="004338F8" w:rsidP="00D005A7">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Sở Tư pháp đ</w:t>
            </w:r>
            <w:r w:rsidRPr="004338F8">
              <w:rPr>
                <w:rFonts w:eastAsia="Times New Roman"/>
                <w:color w:val="000000"/>
                <w:kern w:val="0"/>
                <w:sz w:val="26"/>
                <w:szCs w:val="26"/>
                <w14:ligatures w14:val="none"/>
              </w:rPr>
              <w:t>ề nghị xem xét, bố cục Điều 3 dự thảo thành 04 Điều</w:t>
            </w:r>
          </w:p>
          <w:p w14:paraId="3897D653" w14:textId="5FFE3046" w:rsidR="00D005A7" w:rsidRDefault="00D005A7" w:rsidP="00D005A7">
            <w:pPr>
              <w:pStyle w:val="NoSpacing"/>
              <w:jc w:val="both"/>
              <w:rPr>
                <w:rFonts w:eastAsia="Times New Roman"/>
                <w:color w:val="000000"/>
                <w:kern w:val="0"/>
                <w:sz w:val="26"/>
                <w:szCs w:val="26"/>
                <w14:ligatures w14:val="none"/>
              </w:rPr>
            </w:pPr>
          </w:p>
        </w:tc>
        <w:tc>
          <w:tcPr>
            <w:tcW w:w="5245" w:type="dxa"/>
          </w:tcPr>
          <w:p w14:paraId="4307BB4B" w14:textId="77777777" w:rsidR="001B748A" w:rsidRPr="00BF1665" w:rsidRDefault="001B748A" w:rsidP="00EB7947">
            <w:pPr>
              <w:pStyle w:val="NoSpacing"/>
              <w:jc w:val="both"/>
              <w:rPr>
                <w:rFonts w:eastAsia="Times New Roman"/>
                <w:color w:val="000000"/>
                <w:kern w:val="0"/>
                <w:sz w:val="26"/>
                <w:szCs w:val="26"/>
                <w14:ligatures w14:val="none"/>
              </w:rPr>
            </w:pPr>
          </w:p>
          <w:p w14:paraId="60E850D6" w14:textId="77777777" w:rsidR="001B748A" w:rsidRPr="00BF1665" w:rsidRDefault="001B748A" w:rsidP="00EB7947">
            <w:pPr>
              <w:pStyle w:val="NoSpacing"/>
              <w:jc w:val="both"/>
              <w:rPr>
                <w:rFonts w:eastAsia="Times New Roman"/>
                <w:color w:val="000000"/>
                <w:kern w:val="0"/>
                <w:sz w:val="26"/>
                <w:szCs w:val="26"/>
                <w14:ligatures w14:val="none"/>
              </w:rPr>
            </w:pPr>
          </w:p>
          <w:p w14:paraId="54BEF72C" w14:textId="1AA90317" w:rsidR="00EB7947" w:rsidRPr="00BF1665" w:rsidRDefault="00EB7947" w:rsidP="00EB7947">
            <w:pPr>
              <w:pStyle w:val="NoSpacing"/>
              <w:jc w:val="both"/>
              <w:rPr>
                <w:rFonts w:eastAsia="Times New Roman"/>
                <w:color w:val="000000"/>
                <w:kern w:val="0"/>
                <w:sz w:val="26"/>
                <w:szCs w:val="26"/>
                <w14:ligatures w14:val="none"/>
              </w:rPr>
            </w:pPr>
            <w:r w:rsidRPr="00BF1665">
              <w:rPr>
                <w:rFonts w:eastAsia="Times New Roman"/>
                <w:color w:val="000000"/>
                <w:kern w:val="0"/>
                <w:sz w:val="26"/>
                <w:szCs w:val="26"/>
                <w14:ligatures w14:val="none"/>
              </w:rPr>
              <w:t>Sở Tài chính tiếp thu ý kiến và chỉnh sửa:</w:t>
            </w:r>
          </w:p>
          <w:p w14:paraId="217B7495" w14:textId="77777777" w:rsidR="00EB7947" w:rsidRPr="00BF1665" w:rsidRDefault="00EB7947" w:rsidP="007170F7">
            <w:pPr>
              <w:jc w:val="both"/>
              <w:rPr>
                <w:rFonts w:eastAsia="Times New Roman"/>
                <w:i/>
                <w:iCs/>
                <w:color w:val="000000"/>
                <w:kern w:val="0"/>
                <w:sz w:val="26"/>
                <w:szCs w:val="26"/>
                <w14:ligatures w14:val="none"/>
              </w:rPr>
            </w:pPr>
            <w:r w:rsidRPr="00BF1665">
              <w:rPr>
                <w:rFonts w:eastAsia="Times New Roman"/>
                <w:i/>
                <w:iCs/>
                <w:color w:val="000000"/>
                <w:kern w:val="0"/>
                <w:sz w:val="26"/>
                <w:szCs w:val="26"/>
                <w14:ligatures w14:val="none"/>
              </w:rPr>
              <w:t xml:space="preserve">  “Cơ quan, đơn vị có thẩm quyền xác lập quyền sở hữu toàn dân về tài sản và quyết định phê duyệt phương án xử lý tài sản được xác lập quyền sở hữu toàn dân”.</w:t>
            </w:r>
          </w:p>
          <w:p w14:paraId="19C93FF0" w14:textId="77777777" w:rsidR="00954C1C" w:rsidRPr="00BF1665" w:rsidRDefault="00954C1C" w:rsidP="007170F7">
            <w:pPr>
              <w:jc w:val="both"/>
              <w:rPr>
                <w:rFonts w:eastAsia="Times New Roman"/>
                <w:color w:val="000000"/>
                <w:kern w:val="0"/>
                <w:sz w:val="26"/>
                <w:szCs w:val="26"/>
                <w14:ligatures w14:val="none"/>
              </w:rPr>
            </w:pPr>
          </w:p>
          <w:p w14:paraId="7F3778E1" w14:textId="469A9291" w:rsidR="00954C1C" w:rsidRPr="00BF1665" w:rsidRDefault="00954C1C" w:rsidP="007170F7">
            <w:pPr>
              <w:jc w:val="both"/>
              <w:rPr>
                <w:rFonts w:eastAsia="Times New Roman"/>
                <w:color w:val="000000"/>
                <w:kern w:val="0"/>
                <w:sz w:val="26"/>
                <w:szCs w:val="26"/>
                <w14:ligatures w14:val="none"/>
              </w:rPr>
            </w:pPr>
            <w:r w:rsidRPr="00BF1665">
              <w:rPr>
                <w:rFonts w:eastAsia="Times New Roman"/>
                <w:color w:val="000000"/>
                <w:kern w:val="0"/>
                <w:sz w:val="26"/>
                <w:szCs w:val="26"/>
                <w14:ligatures w14:val="none"/>
              </w:rPr>
              <w:t>Sở Tài chính tiếp thu ý kiến và chỉnh sửa:</w:t>
            </w:r>
          </w:p>
          <w:p w14:paraId="2238A6A8" w14:textId="77777777" w:rsidR="00954C1C" w:rsidRPr="00BF1665" w:rsidRDefault="00954C1C" w:rsidP="007170F7">
            <w:pPr>
              <w:jc w:val="both"/>
              <w:rPr>
                <w:rFonts w:eastAsia="Times New Roman"/>
                <w:i/>
                <w:iCs/>
                <w:color w:val="000000"/>
                <w:kern w:val="0"/>
                <w:sz w:val="26"/>
                <w:szCs w:val="26"/>
                <w14:ligatures w14:val="none"/>
              </w:rPr>
            </w:pPr>
            <w:r w:rsidRPr="00BF1665">
              <w:rPr>
                <w:rFonts w:eastAsia="Times New Roman"/>
                <w:color w:val="000000"/>
                <w:kern w:val="0"/>
                <w:sz w:val="26"/>
                <w:szCs w:val="26"/>
                <w14:ligatures w14:val="none"/>
              </w:rPr>
              <w:t xml:space="preserve">   </w:t>
            </w:r>
            <w:r w:rsidRPr="00BF1665">
              <w:rPr>
                <w:rFonts w:eastAsia="Times New Roman"/>
                <w:i/>
                <w:iCs/>
                <w:color w:val="000000"/>
                <w:kern w:val="0"/>
                <w:sz w:val="26"/>
                <w:szCs w:val="26"/>
                <w14:ligatures w14:val="none"/>
              </w:rPr>
              <w:t>“Cơ quan được giao thực hiện nhiệm vụ quản lý tài sản công quy định tại khoản 3, khoản 4 Điều 19 Luật Quản lý tài sản công số 15/2017/QH15 được sửa đổi, bổ sung bới Luật số 90/2025/QH15”.</w:t>
            </w:r>
          </w:p>
          <w:p w14:paraId="236454CE" w14:textId="77777777" w:rsidR="00BF1665" w:rsidRDefault="00BF1665" w:rsidP="007170F7">
            <w:pPr>
              <w:jc w:val="both"/>
              <w:rPr>
                <w:rFonts w:eastAsia="Times New Roman"/>
                <w:i/>
                <w:iCs/>
                <w:color w:val="000000"/>
                <w:kern w:val="0"/>
                <w:sz w:val="26"/>
                <w:szCs w:val="26"/>
                <w14:ligatures w14:val="none"/>
              </w:rPr>
            </w:pPr>
          </w:p>
          <w:p w14:paraId="18EA3CA0" w14:textId="77777777" w:rsidR="00F367E1" w:rsidRDefault="00F367E1" w:rsidP="007170F7">
            <w:pPr>
              <w:jc w:val="both"/>
              <w:rPr>
                <w:rFonts w:eastAsia="Times New Roman"/>
                <w:i/>
                <w:iCs/>
                <w:color w:val="000000"/>
                <w:kern w:val="0"/>
                <w:sz w:val="26"/>
                <w:szCs w:val="26"/>
                <w14:ligatures w14:val="none"/>
              </w:rPr>
            </w:pPr>
          </w:p>
          <w:p w14:paraId="2A995A49" w14:textId="77777777" w:rsidR="00F367E1" w:rsidRPr="00BF1665" w:rsidRDefault="00F367E1" w:rsidP="007170F7">
            <w:pPr>
              <w:jc w:val="both"/>
              <w:rPr>
                <w:rFonts w:eastAsia="Times New Roman"/>
                <w:i/>
                <w:iCs/>
                <w:color w:val="000000"/>
                <w:kern w:val="0"/>
                <w:sz w:val="26"/>
                <w:szCs w:val="26"/>
                <w14:ligatures w14:val="none"/>
              </w:rPr>
            </w:pPr>
          </w:p>
          <w:p w14:paraId="65F0B1F1" w14:textId="4DFCEDA7" w:rsidR="00BF1665" w:rsidRPr="00BF1665" w:rsidRDefault="00BF1665" w:rsidP="00BF1665">
            <w:pPr>
              <w:tabs>
                <w:tab w:val="left" w:pos="0"/>
              </w:tabs>
              <w:spacing w:before="100" w:beforeAutospacing="1" w:after="100" w:afterAutospacing="1" w:line="320" w:lineRule="exact"/>
              <w:contextualSpacing/>
              <w:jc w:val="both"/>
              <w:rPr>
                <w:sz w:val="26"/>
                <w:szCs w:val="26"/>
              </w:rPr>
            </w:pPr>
            <w:r w:rsidRPr="00BF1665">
              <w:rPr>
                <w:sz w:val="26"/>
                <w:szCs w:val="26"/>
              </w:rPr>
              <w:t>Sở Tài chính</w:t>
            </w:r>
            <w:r w:rsidR="00C34948">
              <w:rPr>
                <w:sz w:val="26"/>
                <w:szCs w:val="26"/>
              </w:rPr>
              <w:t xml:space="preserve"> đã</w:t>
            </w:r>
            <w:r w:rsidRPr="00BF1665">
              <w:rPr>
                <w:sz w:val="26"/>
                <w:szCs w:val="26"/>
              </w:rPr>
              <w:t xml:space="preserve"> tiếp thu</w:t>
            </w:r>
            <w:r w:rsidR="008342C6">
              <w:rPr>
                <w:sz w:val="26"/>
                <w:szCs w:val="26"/>
              </w:rPr>
              <w:t xml:space="preserve"> đầy đủ</w:t>
            </w:r>
            <w:r w:rsidRPr="00BF1665">
              <w:rPr>
                <w:sz w:val="26"/>
                <w:szCs w:val="26"/>
              </w:rPr>
              <w:t xml:space="preserve"> ý kiến </w:t>
            </w:r>
            <w:r w:rsidR="00C34948">
              <w:rPr>
                <w:sz w:val="26"/>
                <w:szCs w:val="26"/>
              </w:rPr>
              <w:t>theo đề nghị của Sở Tư pháp</w:t>
            </w:r>
            <w:r w:rsidR="008342C6">
              <w:rPr>
                <w:sz w:val="26"/>
                <w:szCs w:val="26"/>
              </w:rPr>
              <w:t xml:space="preserve">. </w:t>
            </w:r>
            <w:r w:rsidR="008342C6" w:rsidRPr="001B748A">
              <w:rPr>
                <w:rFonts w:eastAsia="Times New Roman"/>
                <w:color w:val="000000"/>
                <w:kern w:val="0"/>
                <w:sz w:val="26"/>
                <w:szCs w:val="26"/>
                <w14:ligatures w14:val="none"/>
              </w:rPr>
              <w:t>Đối với nội dung phân cấp thẩm quyền phê duyệt phương án xử lý tài sản theo các hình thức khác nhau</w:t>
            </w:r>
            <w:r w:rsidR="008342C6">
              <w:rPr>
                <w:rFonts w:eastAsia="Times New Roman"/>
                <w:color w:val="000000"/>
                <w:kern w:val="0"/>
                <w:sz w:val="26"/>
                <w:szCs w:val="26"/>
                <w14:ligatures w14:val="none"/>
              </w:rPr>
              <w:t>, Sở Tài chính đã rà soát và chỉnh sửa như sau:</w:t>
            </w:r>
          </w:p>
          <w:p w14:paraId="5DE7486F" w14:textId="6D4E7E59" w:rsidR="00BF1665" w:rsidRPr="00BF1665" w:rsidRDefault="00BF1665" w:rsidP="00BF1665">
            <w:pPr>
              <w:tabs>
                <w:tab w:val="left" w:pos="0"/>
              </w:tabs>
              <w:spacing w:before="100" w:beforeAutospacing="1" w:after="100" w:afterAutospacing="1" w:line="320" w:lineRule="exact"/>
              <w:contextualSpacing/>
              <w:jc w:val="both"/>
              <w:rPr>
                <w:i/>
                <w:iCs/>
                <w:sz w:val="26"/>
                <w:szCs w:val="26"/>
              </w:rPr>
            </w:pPr>
            <w:r w:rsidRPr="00BF1665">
              <w:rPr>
                <w:i/>
                <w:iCs/>
                <w:sz w:val="26"/>
                <w:szCs w:val="26"/>
              </w:rPr>
              <w:t xml:space="preserve">   “a. Sở Tài chính quyết định phê duyệt phương án xử lý tài sản do Chủ tịch Ủy ban nhân dân thành phố ra quyết định tịch thu.</w:t>
            </w:r>
          </w:p>
          <w:p w14:paraId="0CD2BB05" w14:textId="1F2DBDD7" w:rsidR="00BF1665" w:rsidRPr="00BF1665" w:rsidRDefault="00BF1665" w:rsidP="00BF1665">
            <w:pPr>
              <w:tabs>
                <w:tab w:val="left" w:pos="0"/>
              </w:tabs>
              <w:spacing w:before="100" w:beforeAutospacing="1" w:after="100" w:afterAutospacing="1" w:line="320" w:lineRule="exact"/>
              <w:contextualSpacing/>
              <w:jc w:val="both"/>
              <w:rPr>
                <w:i/>
                <w:iCs/>
                <w:sz w:val="26"/>
                <w:szCs w:val="26"/>
              </w:rPr>
            </w:pPr>
            <w:r w:rsidRPr="00BF1665">
              <w:rPr>
                <w:i/>
                <w:iCs/>
                <w:sz w:val="26"/>
                <w:szCs w:val="26"/>
              </w:rPr>
              <w:t xml:space="preserve">   b. Các sở, ban, ngành quyết định phê duyệt phương án xử lý tài sản đối với tài sản thuộc thẩm quyền của mình ban hành quyết định tịch </w:t>
            </w:r>
            <w:r w:rsidRPr="00BF1665">
              <w:rPr>
                <w:i/>
                <w:iCs/>
                <w:sz w:val="26"/>
                <w:szCs w:val="26"/>
              </w:rPr>
              <w:lastRenderedPageBreak/>
              <w:t>thu hoặc thẩm quyền của cơ quan, đơn vị thuộc phạm vi quản lý của mình ra quyết định tịch thu.</w:t>
            </w:r>
          </w:p>
          <w:p w14:paraId="0B5D697D" w14:textId="5DEDE6DC" w:rsidR="00BF1665" w:rsidRPr="00BF1665" w:rsidRDefault="00BF1665" w:rsidP="00BF1665">
            <w:pPr>
              <w:tabs>
                <w:tab w:val="left" w:pos="0"/>
              </w:tabs>
              <w:spacing w:before="100" w:beforeAutospacing="1" w:after="100" w:afterAutospacing="1" w:line="320" w:lineRule="exact"/>
              <w:contextualSpacing/>
              <w:jc w:val="both"/>
              <w:rPr>
                <w:i/>
                <w:iCs/>
                <w:sz w:val="26"/>
                <w:szCs w:val="26"/>
              </w:rPr>
            </w:pPr>
            <w:r w:rsidRPr="00BF1665">
              <w:rPr>
                <w:i/>
                <w:iCs/>
                <w:sz w:val="26"/>
                <w:szCs w:val="26"/>
              </w:rPr>
              <w:t xml:space="preserve">   c. Ủy ban nhân dân cấp xã quyết định phê duyệt phương án xử lý tài sản đối với tài sản thuộc thẩm quyền của mình ban hành quyết định tịch thu.”</w:t>
            </w:r>
          </w:p>
          <w:p w14:paraId="33A90332" w14:textId="77777777" w:rsidR="00BF1665" w:rsidRDefault="00BF1665" w:rsidP="007170F7">
            <w:pPr>
              <w:jc w:val="both"/>
              <w:rPr>
                <w:rFonts w:eastAsia="Times New Roman"/>
                <w:color w:val="000000"/>
                <w:kern w:val="0"/>
                <w:sz w:val="26"/>
                <w:szCs w:val="26"/>
                <w14:ligatures w14:val="none"/>
              </w:rPr>
            </w:pPr>
          </w:p>
          <w:p w14:paraId="0688B7C9" w14:textId="77777777" w:rsidR="00D005A7" w:rsidRDefault="00D005A7" w:rsidP="007170F7">
            <w:pPr>
              <w:jc w:val="both"/>
              <w:rPr>
                <w:rFonts w:eastAsia="Times New Roman"/>
                <w:color w:val="000000"/>
                <w:kern w:val="0"/>
                <w:sz w:val="26"/>
                <w:szCs w:val="26"/>
                <w14:ligatures w14:val="none"/>
              </w:rPr>
            </w:pPr>
          </w:p>
          <w:p w14:paraId="6F32C876" w14:textId="77777777" w:rsidR="00D005A7" w:rsidRDefault="00D005A7" w:rsidP="007170F7">
            <w:pPr>
              <w:jc w:val="both"/>
              <w:rPr>
                <w:rFonts w:eastAsia="Times New Roman"/>
                <w:color w:val="000000"/>
                <w:kern w:val="0"/>
                <w:sz w:val="26"/>
                <w:szCs w:val="26"/>
                <w14:ligatures w14:val="none"/>
              </w:rPr>
            </w:pPr>
          </w:p>
          <w:p w14:paraId="043B0761" w14:textId="77777777" w:rsidR="00D005A7" w:rsidRDefault="00D005A7" w:rsidP="007170F7">
            <w:pPr>
              <w:jc w:val="both"/>
              <w:rPr>
                <w:rFonts w:eastAsia="Times New Roman"/>
                <w:color w:val="000000"/>
                <w:kern w:val="0"/>
                <w:sz w:val="26"/>
                <w:szCs w:val="26"/>
                <w14:ligatures w14:val="none"/>
              </w:rPr>
            </w:pPr>
          </w:p>
          <w:p w14:paraId="212D49FD" w14:textId="77777777" w:rsidR="00D005A7" w:rsidRDefault="00D005A7" w:rsidP="007170F7">
            <w:pPr>
              <w:jc w:val="both"/>
              <w:rPr>
                <w:rFonts w:eastAsia="Times New Roman"/>
                <w:color w:val="000000"/>
                <w:kern w:val="0"/>
                <w:sz w:val="26"/>
                <w:szCs w:val="26"/>
                <w14:ligatures w14:val="none"/>
              </w:rPr>
            </w:pPr>
          </w:p>
          <w:p w14:paraId="283E7E3C" w14:textId="77777777" w:rsidR="00B1505C" w:rsidRDefault="00B1505C" w:rsidP="00D005A7">
            <w:pPr>
              <w:pStyle w:val="NoSpacing"/>
              <w:jc w:val="both"/>
              <w:rPr>
                <w:rFonts w:eastAsia="Times New Roman"/>
                <w:color w:val="000000"/>
                <w:kern w:val="0"/>
                <w:sz w:val="26"/>
                <w:szCs w:val="26"/>
                <w14:ligatures w14:val="none"/>
              </w:rPr>
            </w:pPr>
          </w:p>
          <w:p w14:paraId="00E6FE13" w14:textId="41ABC470" w:rsidR="00D005A7" w:rsidRPr="00D005A7" w:rsidRDefault="006E7633" w:rsidP="00D005A7">
            <w:pPr>
              <w:pStyle w:val="NoSpacing"/>
              <w:jc w:val="both"/>
              <w:rPr>
                <w:rFonts w:eastAsia="Times New Roman"/>
                <w:color w:val="000000"/>
                <w:kern w:val="0"/>
                <w:sz w:val="26"/>
                <w:szCs w:val="26"/>
                <w14:ligatures w14:val="none"/>
              </w:rPr>
            </w:pPr>
            <w:r>
              <w:rPr>
                <w:rFonts w:eastAsia="Times New Roman"/>
                <w:color w:val="000000"/>
                <w:kern w:val="0"/>
                <w:sz w:val="26"/>
                <w:szCs w:val="26"/>
                <w14:ligatures w14:val="none"/>
              </w:rPr>
              <w:t xml:space="preserve">  </w:t>
            </w:r>
            <w:r w:rsidR="00D005A7" w:rsidRPr="00D005A7">
              <w:rPr>
                <w:rFonts w:eastAsia="Times New Roman"/>
                <w:color w:val="000000"/>
                <w:kern w:val="0"/>
                <w:sz w:val="26"/>
                <w:szCs w:val="26"/>
                <w14:ligatures w14:val="none"/>
              </w:rPr>
              <w:t>Theo đề nghị của Sở Tư pháp về việc xem xét, kết cấu lại nội dung Dự thảo, Sở Tài chính đã tiếp thu ý kiến và bố cục lại Dự thảo thành 10 Điều trong đó có 04 điều</w:t>
            </w:r>
            <w:r w:rsidR="00C60F42">
              <w:rPr>
                <w:rFonts w:eastAsia="Times New Roman"/>
                <w:color w:val="000000"/>
                <w:kern w:val="0"/>
                <w:sz w:val="26"/>
                <w:szCs w:val="26"/>
                <w14:ligatures w14:val="none"/>
              </w:rPr>
              <w:t xml:space="preserve"> về</w:t>
            </w:r>
            <w:r w:rsidR="00D005A7" w:rsidRPr="00D005A7">
              <w:rPr>
                <w:rFonts w:eastAsia="Times New Roman"/>
                <w:color w:val="000000"/>
                <w:kern w:val="0"/>
                <w:sz w:val="26"/>
                <w:szCs w:val="26"/>
                <w14:ligatures w14:val="none"/>
              </w:rPr>
              <w:t xml:space="preserve"> phân cấp thẩm quyền như sau: </w:t>
            </w:r>
          </w:p>
          <w:p w14:paraId="7C0E1AA3" w14:textId="137D13A0" w:rsidR="00C02438" w:rsidRPr="00C02438" w:rsidRDefault="00C02438" w:rsidP="00C02438">
            <w:pPr>
              <w:jc w:val="both"/>
              <w:rPr>
                <w:rFonts w:eastAsia="Times New Roman"/>
                <w:b/>
                <w:bCs/>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b/>
                <w:bCs/>
                <w:i/>
                <w:iCs/>
                <w:color w:val="000000"/>
                <w:kern w:val="0"/>
                <w:sz w:val="26"/>
                <w:szCs w:val="26"/>
                <w14:ligatures w14:val="none"/>
              </w:rPr>
              <w:t xml:space="preserve">Điều 3. Phân cấp thẩm quyền quyết định phê duyệt phương án xử lý tài sản đối với tài sản là tang vật, phương tiện vi phạm hành chính bị tịch thu do người có thẩm quyền thuộc phạm vi quản lý của địa phương ra quyết định tịch thu theo quy định tại khoản 3 Điều 10 Nghị định số 77/2025/NĐ-CP. </w:t>
            </w:r>
          </w:p>
          <w:p w14:paraId="4420D860" w14:textId="7B6F0A2E"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1. Sở Tài chính quyết định phê duyệt phương án xử lý tài sản do Chủ tịch Ủy ban nhân dân thành phố ra quyết định tịch thu.</w:t>
            </w:r>
          </w:p>
          <w:p w14:paraId="3B19A9C6" w14:textId="41D635C4"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lastRenderedPageBreak/>
              <w:t xml:space="preserve">   </w:t>
            </w:r>
            <w:r w:rsidRPr="00C02438">
              <w:rPr>
                <w:rFonts w:eastAsia="Times New Roman"/>
                <w:i/>
                <w:iCs/>
                <w:color w:val="000000"/>
                <w:kern w:val="0"/>
                <w:sz w:val="26"/>
                <w:szCs w:val="26"/>
                <w14:ligatures w14:val="none"/>
              </w:rPr>
              <w:t>2. Các sở, ban, ngành quyết định phê duyệt phương án xử lý tài sản đối với tài sản thuộc thẩm quyền của mình ban hành quyết định tịch thu hoặc thẩm quyền của cơ quan, đơn vị thuộc phạm vi quản lý của mình ra quyết định tịch thu.</w:t>
            </w:r>
          </w:p>
          <w:p w14:paraId="6292F508" w14:textId="0DA45FEB"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3. Ủy ban nhân dân cấp xã quyết định phê duyệt phương án xử lý tài sản đối với tài sản thuộc thẩm quyền của mình ban hành quyết định tịch thu.</w:t>
            </w:r>
          </w:p>
          <w:p w14:paraId="3ACF2785" w14:textId="0150CF7E" w:rsidR="00C02438" w:rsidRPr="00C02438" w:rsidRDefault="00C02438" w:rsidP="00C02438">
            <w:pPr>
              <w:jc w:val="both"/>
              <w:rPr>
                <w:rFonts w:eastAsia="Times New Roman"/>
                <w:b/>
                <w:bCs/>
                <w:i/>
                <w:iCs/>
                <w:color w:val="000000"/>
                <w:kern w:val="0"/>
                <w:sz w:val="26"/>
                <w:szCs w:val="26"/>
                <w14:ligatures w14:val="none"/>
              </w:rPr>
            </w:pPr>
            <w:r w:rsidRPr="00C02438">
              <w:rPr>
                <w:rFonts w:eastAsia="Times New Roman"/>
                <w:b/>
                <w:bCs/>
                <w:i/>
                <w:iCs/>
                <w:color w:val="000000"/>
                <w:kern w:val="0"/>
                <w:sz w:val="26"/>
                <w:szCs w:val="26"/>
                <w14:ligatures w14:val="none"/>
              </w:rPr>
              <w:t xml:space="preserve">   </w:t>
            </w:r>
            <w:r w:rsidRPr="00C02438">
              <w:rPr>
                <w:rFonts w:eastAsia="Times New Roman"/>
                <w:b/>
                <w:bCs/>
                <w:i/>
                <w:iCs/>
                <w:color w:val="000000"/>
                <w:kern w:val="0"/>
                <w:sz w:val="26"/>
                <w:szCs w:val="26"/>
                <w14:ligatures w14:val="none"/>
              </w:rPr>
              <w:t>Điều 4. Phân cấp thẩm quyền quyết định phê duyệt phương án xử lý đối với tài sản là vật chứng vụ án, tài sản của người bị kết án bị tịch thu và đã có quyết định thi hành án của cơ quan có thẩm quyền theo quy định tại khoản 3 Điều 20 Nghị định số 77/2025/NĐ-CP.</w:t>
            </w:r>
          </w:p>
          <w:p w14:paraId="382BFD92" w14:textId="4B59615B"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1. Sở Tài chính quyết định phê duyệt phương án xử lý tài sản do cơ quan Thi hành án thành phố và cơ quan Thi hành án cấp quân khu chuyển giao.</w:t>
            </w:r>
          </w:p>
          <w:p w14:paraId="0AABA53B" w14:textId="417E04B0"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 xml:space="preserve">2. Ủy ban nhân dân xã, phường, đặc khu quyết định phê duyệt phương án xử lý tài sản do Phòng Thi hành án dân sự khu vực chuyển giao đối với các vụ việc xảy ra trên địa bàn của mình. Đối với tài sản là vật chứng vụ án, tài sản của người bị kết án bị tịch thu mà vụ việc xảy ra trên địa bàn nhiều xã, phường, đặc khu thì Ủy ban nhân dân xã, phường, đặc khu nơi có trụ sở Phòng Thi hành án dân sự khu vực đóng trên địa bàn, quyết định phê duyệt phương án xử lý tài sản. </w:t>
            </w:r>
          </w:p>
          <w:p w14:paraId="75EE7E14" w14:textId="5FCC0D18" w:rsidR="00C02438" w:rsidRPr="00C02438" w:rsidRDefault="00C02438" w:rsidP="00C02438">
            <w:pPr>
              <w:jc w:val="both"/>
              <w:rPr>
                <w:rFonts w:eastAsia="Times New Roman"/>
                <w:b/>
                <w:bCs/>
                <w:i/>
                <w:iCs/>
                <w:color w:val="000000"/>
                <w:kern w:val="0"/>
                <w:sz w:val="26"/>
                <w:szCs w:val="26"/>
                <w14:ligatures w14:val="none"/>
              </w:rPr>
            </w:pPr>
            <w:r w:rsidRPr="00C02438">
              <w:rPr>
                <w:rFonts w:eastAsia="Times New Roman"/>
                <w:i/>
                <w:iCs/>
                <w:color w:val="000000"/>
                <w:kern w:val="0"/>
                <w:sz w:val="26"/>
                <w:szCs w:val="26"/>
                <w14:ligatures w14:val="none"/>
              </w:rPr>
              <w:lastRenderedPageBreak/>
              <w:t xml:space="preserve">   </w:t>
            </w:r>
            <w:r w:rsidRPr="00C02438">
              <w:rPr>
                <w:rFonts w:eastAsia="Times New Roman"/>
                <w:b/>
                <w:bCs/>
                <w:i/>
                <w:iCs/>
                <w:color w:val="000000"/>
                <w:kern w:val="0"/>
                <w:sz w:val="26"/>
                <w:szCs w:val="26"/>
                <w14:ligatures w14:val="none"/>
              </w:rPr>
              <w:t>Điều 5. Phân cấp thẩm quyền quyết định xác lập quyền sở hữu toàn dân đối với tài sản chuyển giao cho Nhà nước Việt Nam thông qua chính quyền địa phương theo quy định tại khoản 2 Điều 43 Nghị định số 77/2025/NĐ-CP.</w:t>
            </w:r>
          </w:p>
          <w:p w14:paraId="5967C791" w14:textId="209AEAAB"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1. Sở Tài chính quyết định xác lập quyền sở hữu toàn dân đối với tài sản chuyển giao cho Nhà nước Việt Nam thông qua chính quyền địa phương cấp thành phố.</w:t>
            </w:r>
          </w:p>
          <w:p w14:paraId="7D5FDAB7" w14:textId="02E4DD4F"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2. Ủy ban nhân dân xã quyết định xác lập quyền sở hữu toàn dân đối với tài sản chuyển giao cho Nhà nước Việt Nam thông qua chính quyền địa phương cấp xã.</w:t>
            </w:r>
            <w:r w:rsidRPr="00C02438">
              <w:rPr>
                <w:rFonts w:eastAsia="Times New Roman"/>
                <w:i/>
                <w:iCs/>
                <w:color w:val="000000"/>
                <w:kern w:val="0"/>
                <w:sz w:val="26"/>
                <w:szCs w:val="26"/>
                <w14:ligatures w14:val="none"/>
              </w:rPr>
              <w:tab/>
            </w:r>
          </w:p>
          <w:p w14:paraId="6156A4E6" w14:textId="7FC42AB4" w:rsidR="00C02438" w:rsidRPr="00C02438" w:rsidRDefault="00C02438" w:rsidP="00C02438">
            <w:pPr>
              <w:jc w:val="both"/>
              <w:rPr>
                <w:rFonts w:eastAsia="Times New Roman"/>
                <w:b/>
                <w:bCs/>
                <w:i/>
                <w:iCs/>
                <w:color w:val="000000"/>
                <w:kern w:val="0"/>
                <w:sz w:val="26"/>
                <w:szCs w:val="26"/>
                <w14:ligatures w14:val="none"/>
              </w:rPr>
            </w:pPr>
            <w:r w:rsidRPr="00C02438">
              <w:rPr>
                <w:rFonts w:eastAsia="Times New Roman"/>
                <w:b/>
                <w:bCs/>
                <w:i/>
                <w:iCs/>
                <w:color w:val="000000"/>
                <w:kern w:val="0"/>
                <w:sz w:val="26"/>
                <w:szCs w:val="26"/>
                <w14:ligatures w14:val="none"/>
              </w:rPr>
              <w:t xml:space="preserve">   </w:t>
            </w:r>
            <w:r w:rsidRPr="00C02438">
              <w:rPr>
                <w:rFonts w:eastAsia="Times New Roman"/>
                <w:b/>
                <w:bCs/>
                <w:i/>
                <w:iCs/>
                <w:color w:val="000000"/>
                <w:kern w:val="0"/>
                <w:sz w:val="26"/>
                <w:szCs w:val="26"/>
                <w14:ligatures w14:val="none"/>
              </w:rPr>
              <w:t>Điều 6. Phân cấp thẩm quyền quyết định phê duyệt phương án xử lý tài sản đối với tài sản chuyển giao cho Nhà nước Việt Nam thông qua chính quyền địa phương theo quy định tại khoản 4 Điều 47 Nghị định số 77/2025/NĐ-CP.</w:t>
            </w:r>
          </w:p>
          <w:p w14:paraId="540106A9" w14:textId="01E1E215" w:rsidR="00C02438" w:rsidRPr="00C02438" w:rsidRDefault="00C02438" w:rsidP="00C02438">
            <w:pPr>
              <w:jc w:val="both"/>
              <w:rPr>
                <w:rFonts w:eastAsia="Times New Roman"/>
                <w:i/>
                <w:iCs/>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1. Sở Tài chính quyết định phê duyệt phương án xử lý tài sản chuyển giao cho Nhà nước Việt Nam theo hình thức giao, điều chuyển giữa các sở, ban, ngành cấp thành phố; giữa các sở, ban, ngành cấp thành phố và các xã, phường, đặc khu.</w:t>
            </w:r>
          </w:p>
          <w:p w14:paraId="3405F9C2" w14:textId="2A889C67" w:rsidR="00D005A7" w:rsidRPr="00BF1665" w:rsidRDefault="00C02438" w:rsidP="00C02438">
            <w:pPr>
              <w:jc w:val="both"/>
              <w:rPr>
                <w:rFonts w:eastAsia="Times New Roman"/>
                <w:color w:val="000000"/>
                <w:kern w:val="0"/>
                <w:sz w:val="26"/>
                <w:szCs w:val="26"/>
                <w14:ligatures w14:val="none"/>
              </w:rPr>
            </w:pPr>
            <w:r w:rsidRPr="00C02438">
              <w:rPr>
                <w:rFonts w:eastAsia="Times New Roman"/>
                <w:i/>
                <w:iCs/>
                <w:color w:val="000000"/>
                <w:kern w:val="0"/>
                <w:sz w:val="26"/>
                <w:szCs w:val="26"/>
                <w14:ligatures w14:val="none"/>
              </w:rPr>
              <w:t xml:space="preserve">   </w:t>
            </w:r>
            <w:r w:rsidRPr="00C02438">
              <w:rPr>
                <w:rFonts w:eastAsia="Times New Roman"/>
                <w:i/>
                <w:iCs/>
                <w:color w:val="000000"/>
                <w:kern w:val="0"/>
                <w:sz w:val="26"/>
                <w:szCs w:val="26"/>
                <w14:ligatures w14:val="none"/>
              </w:rPr>
              <w:t>2. Ủy ban nhân dân cấp xã quyết định phê duyệt phương án xử lý tài sản đối với tài sản chuyển giao cho Nhà nước Việt Nam thông qua chính quyền địa phương cấp xã.</w:t>
            </w:r>
          </w:p>
        </w:tc>
      </w:tr>
    </w:tbl>
    <w:p w14:paraId="47FE5A97" w14:textId="77777777" w:rsidR="00137E00" w:rsidRDefault="00137E00"/>
    <w:sectPr w:rsidR="00137E00" w:rsidSect="008D1BBE">
      <w:pgSz w:w="16838" w:h="11906"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00"/>
    <w:rsid w:val="00065116"/>
    <w:rsid w:val="0013763F"/>
    <w:rsid w:val="00137E00"/>
    <w:rsid w:val="001B748A"/>
    <w:rsid w:val="001D1DB3"/>
    <w:rsid w:val="001D63CF"/>
    <w:rsid w:val="001D7565"/>
    <w:rsid w:val="002429F9"/>
    <w:rsid w:val="00263168"/>
    <w:rsid w:val="004148E0"/>
    <w:rsid w:val="004338F8"/>
    <w:rsid w:val="004476A9"/>
    <w:rsid w:val="004C3CD0"/>
    <w:rsid w:val="00510634"/>
    <w:rsid w:val="00537F16"/>
    <w:rsid w:val="00546645"/>
    <w:rsid w:val="005C36D9"/>
    <w:rsid w:val="005D2932"/>
    <w:rsid w:val="0064135B"/>
    <w:rsid w:val="00645E3A"/>
    <w:rsid w:val="006E7633"/>
    <w:rsid w:val="007069B5"/>
    <w:rsid w:val="007170F7"/>
    <w:rsid w:val="007778F9"/>
    <w:rsid w:val="0079126D"/>
    <w:rsid w:val="007F420C"/>
    <w:rsid w:val="008342C6"/>
    <w:rsid w:val="008B64D4"/>
    <w:rsid w:val="008D1BBE"/>
    <w:rsid w:val="00954C1C"/>
    <w:rsid w:val="0099573F"/>
    <w:rsid w:val="00AE7854"/>
    <w:rsid w:val="00B1027F"/>
    <w:rsid w:val="00B1505C"/>
    <w:rsid w:val="00B63112"/>
    <w:rsid w:val="00BA7C95"/>
    <w:rsid w:val="00BF1665"/>
    <w:rsid w:val="00BF5B6B"/>
    <w:rsid w:val="00C02438"/>
    <w:rsid w:val="00C34948"/>
    <w:rsid w:val="00C60F42"/>
    <w:rsid w:val="00D005A7"/>
    <w:rsid w:val="00DB3203"/>
    <w:rsid w:val="00DE7852"/>
    <w:rsid w:val="00E3409E"/>
    <w:rsid w:val="00E600B1"/>
    <w:rsid w:val="00E72F29"/>
    <w:rsid w:val="00EB40D8"/>
    <w:rsid w:val="00EB7947"/>
    <w:rsid w:val="00ED659C"/>
    <w:rsid w:val="00F139EB"/>
    <w:rsid w:val="00F367E1"/>
    <w:rsid w:val="00F7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28A1"/>
  <w15:chartTrackingRefBased/>
  <w15:docId w15:val="{F8672860-70C4-44E6-8B69-A5086397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00"/>
  </w:style>
  <w:style w:type="paragraph" w:styleId="Heading1">
    <w:name w:val="heading 1"/>
    <w:basedOn w:val="Normal"/>
    <w:next w:val="Normal"/>
    <w:link w:val="Heading1Char"/>
    <w:uiPriority w:val="9"/>
    <w:qFormat/>
    <w:rsid w:val="00137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E0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137E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7E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7E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7E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7E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7E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E0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137E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7E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7E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7E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7E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7E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7E0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37E0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37E0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37E0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37E00"/>
    <w:pPr>
      <w:spacing w:before="160"/>
      <w:jc w:val="center"/>
    </w:pPr>
    <w:rPr>
      <w:i/>
      <w:iCs/>
      <w:color w:val="404040" w:themeColor="text1" w:themeTint="BF"/>
    </w:rPr>
  </w:style>
  <w:style w:type="character" w:customStyle="1" w:styleId="QuoteChar">
    <w:name w:val="Quote Char"/>
    <w:basedOn w:val="DefaultParagraphFont"/>
    <w:link w:val="Quote"/>
    <w:uiPriority w:val="29"/>
    <w:rsid w:val="00137E00"/>
    <w:rPr>
      <w:i/>
      <w:iCs/>
      <w:color w:val="404040" w:themeColor="text1" w:themeTint="BF"/>
    </w:rPr>
  </w:style>
  <w:style w:type="paragraph" w:styleId="ListParagraph">
    <w:name w:val="List Paragraph"/>
    <w:basedOn w:val="Normal"/>
    <w:uiPriority w:val="34"/>
    <w:qFormat/>
    <w:rsid w:val="00137E00"/>
    <w:pPr>
      <w:ind w:left="720"/>
      <w:contextualSpacing/>
    </w:pPr>
  </w:style>
  <w:style w:type="character" w:styleId="IntenseEmphasis">
    <w:name w:val="Intense Emphasis"/>
    <w:basedOn w:val="DefaultParagraphFont"/>
    <w:uiPriority w:val="21"/>
    <w:qFormat/>
    <w:rsid w:val="00137E00"/>
    <w:rPr>
      <w:i/>
      <w:iCs/>
      <w:color w:val="0F4761" w:themeColor="accent1" w:themeShade="BF"/>
    </w:rPr>
  </w:style>
  <w:style w:type="paragraph" w:styleId="IntenseQuote">
    <w:name w:val="Intense Quote"/>
    <w:basedOn w:val="Normal"/>
    <w:next w:val="Normal"/>
    <w:link w:val="IntenseQuoteChar"/>
    <w:uiPriority w:val="30"/>
    <w:qFormat/>
    <w:rsid w:val="00137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E00"/>
    <w:rPr>
      <w:i/>
      <w:iCs/>
      <w:color w:val="0F4761" w:themeColor="accent1" w:themeShade="BF"/>
    </w:rPr>
  </w:style>
  <w:style w:type="character" w:styleId="IntenseReference">
    <w:name w:val="Intense Reference"/>
    <w:basedOn w:val="DefaultParagraphFont"/>
    <w:uiPriority w:val="32"/>
    <w:qFormat/>
    <w:rsid w:val="00137E00"/>
    <w:rPr>
      <w:b/>
      <w:bCs/>
      <w:smallCaps/>
      <w:color w:val="0F4761" w:themeColor="accent1" w:themeShade="BF"/>
      <w:spacing w:val="5"/>
    </w:rPr>
  </w:style>
  <w:style w:type="paragraph" w:styleId="NormalWeb">
    <w:name w:val="Normal (Web)"/>
    <w:basedOn w:val="Normal"/>
    <w:uiPriority w:val="99"/>
    <w:unhideWhenUsed/>
    <w:rsid w:val="00137E00"/>
    <w:pPr>
      <w:spacing w:before="100" w:beforeAutospacing="1" w:after="100" w:afterAutospacing="1" w:line="240" w:lineRule="auto"/>
    </w:pPr>
    <w:rPr>
      <w:rFonts w:eastAsia="Times New Roman"/>
      <w:color w:val="auto"/>
      <w:kern w:val="0"/>
      <w:sz w:val="24"/>
      <w:szCs w:val="24"/>
      <w14:ligatures w14:val="none"/>
    </w:rPr>
  </w:style>
  <w:style w:type="table" w:styleId="TableGrid">
    <w:name w:val="Table Grid"/>
    <w:basedOn w:val="TableNormal"/>
    <w:uiPriority w:val="39"/>
    <w:rsid w:val="005D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3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1DB7-1A62-431A-90BE-E069CCB1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dcterms:created xsi:type="dcterms:W3CDTF">2025-09-05T06:47:00Z</dcterms:created>
  <dcterms:modified xsi:type="dcterms:W3CDTF">2025-09-30T01:22:00Z</dcterms:modified>
</cp:coreProperties>
</file>