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3C37B" w14:textId="77777777" w:rsidR="004F4E6E" w:rsidRPr="004F4E6E" w:rsidRDefault="004F4E6E" w:rsidP="004F4E6E">
      <w:pPr>
        <w:spacing w:before="120" w:after="120" w:line="400" w:lineRule="exact"/>
        <w:ind w:firstLine="720"/>
        <w:rPr>
          <w:b/>
          <w:bCs/>
          <w:color w:val="0070C0"/>
          <w:sz w:val="34"/>
          <w:szCs w:val="28"/>
          <w:lang w:val="en-US"/>
        </w:rPr>
      </w:pPr>
      <w:r w:rsidRPr="004F4E6E">
        <w:rPr>
          <w:b/>
          <w:bCs/>
          <w:color w:val="0070C0"/>
          <w:sz w:val="34"/>
          <w:szCs w:val="28"/>
          <w:lang w:val="en-US"/>
        </w:rPr>
        <w:t>Quy định về quản lý và sử dụng các chi phí trong lựa chọn nhà thầu, nhà đầu tư trên Hệ thống mạng đấu thầu quốc gia</w:t>
      </w:r>
      <w:r w:rsidRPr="004F4E6E">
        <w:rPr>
          <w:b/>
          <w:bCs/>
          <w:color w:val="0070C0"/>
          <w:sz w:val="34"/>
          <w:szCs w:val="28"/>
          <w:lang w:val="en-US"/>
        </w:rPr>
        <w:tab/>
      </w:r>
    </w:p>
    <w:p w14:paraId="01420948" w14:textId="77777777" w:rsidR="004F4E6E" w:rsidRPr="004F4E6E" w:rsidRDefault="004F4E6E" w:rsidP="004F4E6E">
      <w:pPr>
        <w:spacing w:before="120" w:after="120" w:line="400" w:lineRule="exact"/>
        <w:ind w:firstLine="720"/>
        <w:rPr>
          <w:lang w:val="en-US"/>
        </w:rPr>
      </w:pPr>
      <w:r w:rsidRPr="004F4E6E">
        <w:rPr>
          <w:lang w:val="en-US"/>
        </w:rPr>
        <w:t>Ngày 19/4/2024, Bộ Kế hoạch và Đầu tư ban hành Thông tư 05/2024/TT-BKHĐT quy định về quản lý và sử dụng các chi phí trong lựa chọn nhà thầu, nhà đầu tư trên Hệ thống mạng đấu thầu quốc gia.</w:t>
      </w:r>
      <w:r w:rsidRPr="004F4E6E">
        <w:rPr>
          <w:lang w:val="en-US"/>
        </w:rPr>
        <w:tab/>
      </w:r>
    </w:p>
    <w:p w14:paraId="452E197A" w14:textId="3EFB0F75" w:rsidR="00C82AEF" w:rsidRDefault="00C82AEF" w:rsidP="004F4E6E">
      <w:pPr>
        <w:spacing w:before="120" w:after="120" w:line="400" w:lineRule="exact"/>
        <w:ind w:firstLine="720"/>
        <w:rPr>
          <w:lang w:val="en-US"/>
        </w:rPr>
      </w:pPr>
      <w:r>
        <w:rPr>
          <w:noProof/>
          <w:lang w:val="en-US"/>
        </w:rPr>
        <mc:AlternateContent>
          <mc:Choice Requires="wps">
            <w:drawing>
              <wp:anchor distT="0" distB="0" distL="114300" distR="114300" simplePos="0" relativeHeight="251659264" behindDoc="0" locked="0" layoutInCell="1" allowOverlap="1" wp14:anchorId="408CCD8D" wp14:editId="419418BD">
                <wp:simplePos x="0" y="0"/>
                <wp:positionH relativeFrom="column">
                  <wp:posOffset>472440</wp:posOffset>
                </wp:positionH>
                <wp:positionV relativeFrom="paragraph">
                  <wp:posOffset>156210</wp:posOffset>
                </wp:positionV>
                <wp:extent cx="5210175" cy="2647950"/>
                <wp:effectExtent l="0" t="0" r="28575" b="19050"/>
                <wp:wrapNone/>
                <wp:docPr id="769051228" name="Text Box 1"/>
                <wp:cNvGraphicFramePr/>
                <a:graphic xmlns:a="http://schemas.openxmlformats.org/drawingml/2006/main">
                  <a:graphicData uri="http://schemas.microsoft.com/office/word/2010/wordprocessingShape">
                    <wps:wsp>
                      <wps:cNvSpPr txBox="1"/>
                      <wps:spPr>
                        <a:xfrm>
                          <a:off x="0" y="0"/>
                          <a:ext cx="5210175" cy="2647950"/>
                        </a:xfrm>
                        <a:prstGeom prst="rect">
                          <a:avLst/>
                        </a:prstGeom>
                        <a:solidFill>
                          <a:schemeClr val="lt1"/>
                        </a:solidFill>
                        <a:ln w="6350">
                          <a:solidFill>
                            <a:prstClr val="black"/>
                          </a:solidFill>
                        </a:ln>
                      </wps:spPr>
                      <wps:txbx>
                        <w:txbxContent>
                          <w:p w14:paraId="15F70257" w14:textId="4EA2B92B" w:rsidR="00C82AEF" w:rsidRDefault="00C82AEF">
                            <w:r>
                              <w:rPr>
                                <w:noProof/>
                              </w:rPr>
                              <w:drawing>
                                <wp:inline distT="0" distB="0" distL="0" distR="0" wp14:anchorId="53A67359" wp14:editId="7256B063">
                                  <wp:extent cx="5114925" cy="2562225"/>
                                  <wp:effectExtent l="0" t="0" r="9525" b="9525"/>
                                  <wp:docPr id="1069230935" name="Picture 1" descr="A person's hands on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30935" name="Picture 1" descr="A person's hands on a desk&#10;&#10;Description automatically generated"/>
                                          <pic:cNvPicPr/>
                                        </pic:nvPicPr>
                                        <pic:blipFill>
                                          <a:blip r:embed="rId4"/>
                                          <a:stretch>
                                            <a:fillRect/>
                                          </a:stretch>
                                        </pic:blipFill>
                                        <pic:spPr>
                                          <a:xfrm>
                                            <a:off x="0" y="0"/>
                                            <a:ext cx="5114925" cy="2562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8CCD8D" id="_x0000_t202" coordsize="21600,21600" o:spt="202" path="m,l,21600r21600,l21600,xe">
                <v:stroke joinstyle="miter"/>
                <v:path gradientshapeok="t" o:connecttype="rect"/>
              </v:shapetype>
              <v:shape id="Text Box 1" o:spid="_x0000_s1026" type="#_x0000_t202" style="position:absolute;left:0;text-align:left;margin-left:37.2pt;margin-top:12.3pt;width:410.25pt;height:2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eoNwIAAH0EAAAOAAAAZHJzL2Uyb0RvYy54bWysVEtv2zAMvg/YfxB0XxxneaxGnCJLkWFA&#10;0BZIh54VWYqNyqImKbGzXz9KcR5tdxp6kUmR+kh+JD29bWtF9sK6CnRO016fEqE5FJXe5vTX0/LL&#10;N0qcZ7pgCrTI6UE4ejv7/GnamEwMoARVCEsQRLusMTktvTdZkjheipq5Hhih0SjB1syjardJYVmD&#10;6LVKBv3+OGnAFsYCF87h7d3RSGcRX0rB/YOUTniicoq5+XjaeG7CmcymLNtaZsqKd2mw/8iiZpXG&#10;oGeoO+YZ2dnqHVRdcQsOpO9xqBOQsuIi1oDVpP031axLZkSsBclx5kyT+zhYfr9fm0dLfPsdWmxg&#10;IKQxLnN4Gepppa3DFzMlaEcKD2faROsJx8vRIO2nkxElHG2D8XByM4rEJpfnxjr/Q0BNgpBTi32J&#10;dLH9ynkMia4nlxDNgaqKZaVUVMIsiIWyZM+wi8rHJPHFKy+lSZPT8VcM/Q4hQJ/fbxTjL6HM1wio&#10;KY2Xl+KD5NtN2zGygeKARFk4zpAzfFkh7oo5/8gsDg1yg4vgH/CQCjAZ6CRKSrB//nUf/LGXaKWk&#10;wSHMqfu9Y1ZQon5q7PJNOhyGqY3KcDQZoGKvLZtri97VC0CGUlw5w6MY/L06idJC/Yz7Mg9R0cQ0&#10;x9g59Sdx4Y+rgfvGxXwenXBODfMrvTY8QAdyA59P7TOzpuunx1G4h9O4suxNW4++4aWG+c6DrGLP&#10;A8FHVjveccZjW7p9DEt0rUevy19j9hcAAP//AwBQSwMEFAAGAAgAAAAhAGBkMRjcAAAACQEAAA8A&#10;AABkcnMvZG93bnJldi54bWxMjzFPwzAUhHck/oP1kNio08oKSYhTASosTLSI+TV27Yj4ObLdNPx7&#10;zATj6U5337XbxY1s1iEOniSsVwUwTb1XAxkJH4eXuwpYTEgKR09awreOsO2ur1pslL/Qu573ybBc&#10;QrFBCTalqeE89lY7jCs/acreyQeHKctguAp4yeVu5JuiKLnDgfKCxUk/W91/7c9Owu7J1KavMNhd&#10;pYZhXj5Pb+ZVytub5fEBWNJL+gvDL35Ghy4zHf2ZVGSjhHshclLCRpTAsl/VogZ2lCDEugTetfz/&#10;g+4HAAD//wMAUEsBAi0AFAAGAAgAAAAhALaDOJL+AAAA4QEAABMAAAAAAAAAAAAAAAAAAAAAAFtD&#10;b250ZW50X1R5cGVzXS54bWxQSwECLQAUAAYACAAAACEAOP0h/9YAAACUAQAACwAAAAAAAAAAAAAA&#10;AAAvAQAAX3JlbHMvLnJlbHNQSwECLQAUAAYACAAAACEA8jXXqDcCAAB9BAAADgAAAAAAAAAAAAAA&#10;AAAuAgAAZHJzL2Uyb0RvYy54bWxQSwECLQAUAAYACAAAACEAYGQxGNwAAAAJAQAADwAAAAAAAAAA&#10;AAAAAACRBAAAZHJzL2Rvd25yZXYueG1sUEsFBgAAAAAEAAQA8wAAAJoFAAAAAA==&#10;" fillcolor="white [3201]" strokeweight=".5pt">
                <v:textbox>
                  <w:txbxContent>
                    <w:p w14:paraId="15F70257" w14:textId="4EA2B92B" w:rsidR="00C82AEF" w:rsidRDefault="00C82AEF">
                      <w:r>
                        <w:rPr>
                          <w:noProof/>
                        </w:rPr>
                        <w:drawing>
                          <wp:inline distT="0" distB="0" distL="0" distR="0" wp14:anchorId="53A67359" wp14:editId="7256B063">
                            <wp:extent cx="5114925" cy="2562225"/>
                            <wp:effectExtent l="0" t="0" r="9525" b="9525"/>
                            <wp:docPr id="1069230935" name="Picture 1" descr="A person's hands on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30935" name="Picture 1" descr="A person's hands on a desk&#10;&#10;Description automatically generated"/>
                                    <pic:cNvPicPr/>
                                  </pic:nvPicPr>
                                  <pic:blipFill>
                                    <a:blip r:embed="rId4"/>
                                    <a:stretch>
                                      <a:fillRect/>
                                    </a:stretch>
                                  </pic:blipFill>
                                  <pic:spPr>
                                    <a:xfrm>
                                      <a:off x="0" y="0"/>
                                      <a:ext cx="5114925" cy="2562225"/>
                                    </a:xfrm>
                                    <a:prstGeom prst="rect">
                                      <a:avLst/>
                                    </a:prstGeom>
                                  </pic:spPr>
                                </pic:pic>
                              </a:graphicData>
                            </a:graphic>
                          </wp:inline>
                        </w:drawing>
                      </w:r>
                    </w:p>
                  </w:txbxContent>
                </v:textbox>
              </v:shape>
            </w:pict>
          </mc:Fallback>
        </mc:AlternateContent>
      </w:r>
    </w:p>
    <w:p w14:paraId="1531B047" w14:textId="77777777" w:rsidR="00C82AEF" w:rsidRDefault="00C82AEF" w:rsidP="004F4E6E">
      <w:pPr>
        <w:spacing w:before="120" w:after="120" w:line="400" w:lineRule="exact"/>
        <w:ind w:firstLine="720"/>
        <w:rPr>
          <w:lang w:val="en-US"/>
        </w:rPr>
      </w:pPr>
    </w:p>
    <w:p w14:paraId="0BF0796F" w14:textId="77777777" w:rsidR="00C82AEF" w:rsidRDefault="00C82AEF" w:rsidP="004F4E6E">
      <w:pPr>
        <w:spacing w:before="120" w:after="120" w:line="400" w:lineRule="exact"/>
        <w:ind w:firstLine="720"/>
        <w:rPr>
          <w:lang w:val="en-US"/>
        </w:rPr>
      </w:pPr>
    </w:p>
    <w:p w14:paraId="7DF1BF06" w14:textId="77777777" w:rsidR="00C82AEF" w:rsidRDefault="00C82AEF" w:rsidP="004F4E6E">
      <w:pPr>
        <w:spacing w:before="120" w:after="120" w:line="400" w:lineRule="exact"/>
        <w:ind w:firstLine="720"/>
        <w:rPr>
          <w:lang w:val="en-US"/>
        </w:rPr>
      </w:pPr>
    </w:p>
    <w:p w14:paraId="5B3B1C13" w14:textId="77777777" w:rsidR="00C82AEF" w:rsidRDefault="00C82AEF" w:rsidP="004F4E6E">
      <w:pPr>
        <w:spacing w:before="120" w:after="120" w:line="400" w:lineRule="exact"/>
        <w:ind w:firstLine="720"/>
        <w:rPr>
          <w:lang w:val="en-US"/>
        </w:rPr>
      </w:pPr>
    </w:p>
    <w:p w14:paraId="6E9D0256" w14:textId="77777777" w:rsidR="00C82AEF" w:rsidRDefault="00C82AEF" w:rsidP="004F4E6E">
      <w:pPr>
        <w:spacing w:before="120" w:after="120" w:line="400" w:lineRule="exact"/>
        <w:ind w:firstLine="720"/>
        <w:rPr>
          <w:lang w:val="en-US"/>
        </w:rPr>
      </w:pPr>
    </w:p>
    <w:p w14:paraId="0D56CBD2" w14:textId="77777777" w:rsidR="00C82AEF" w:rsidRDefault="00C82AEF" w:rsidP="004F4E6E">
      <w:pPr>
        <w:spacing w:before="120" w:after="120" w:line="400" w:lineRule="exact"/>
        <w:ind w:firstLine="720"/>
        <w:rPr>
          <w:lang w:val="en-US"/>
        </w:rPr>
      </w:pPr>
    </w:p>
    <w:p w14:paraId="0D28B585" w14:textId="77777777" w:rsidR="00C82AEF" w:rsidRDefault="00C82AEF" w:rsidP="004F4E6E">
      <w:pPr>
        <w:spacing w:before="120" w:after="120" w:line="400" w:lineRule="exact"/>
        <w:ind w:firstLine="720"/>
        <w:rPr>
          <w:lang w:val="en-US"/>
        </w:rPr>
      </w:pPr>
    </w:p>
    <w:p w14:paraId="5D6ACFF8" w14:textId="55D5FBC6" w:rsidR="004F4E6E" w:rsidRPr="004F4E6E" w:rsidRDefault="004F4E6E" w:rsidP="004F4E6E">
      <w:pPr>
        <w:spacing w:before="120" w:after="120" w:line="400" w:lineRule="exact"/>
        <w:ind w:firstLine="720"/>
        <w:rPr>
          <w:lang w:val="en-US"/>
        </w:rPr>
      </w:pPr>
      <w:r w:rsidRPr="004F4E6E">
        <w:rPr>
          <w:lang w:val="en-US"/>
        </w:rPr>
        <w:tab/>
      </w:r>
    </w:p>
    <w:p w14:paraId="65B93B81" w14:textId="77777777" w:rsidR="004F4E6E" w:rsidRPr="004F4E6E" w:rsidRDefault="004F4E6E" w:rsidP="004F4E6E">
      <w:pPr>
        <w:spacing w:before="120" w:after="120" w:line="400" w:lineRule="exact"/>
        <w:ind w:firstLine="720"/>
        <w:rPr>
          <w:lang w:val="en-US"/>
        </w:rPr>
      </w:pPr>
      <w:r w:rsidRPr="004F4E6E">
        <w:rPr>
          <w:lang w:val="en-US"/>
        </w:rPr>
        <w:t>Thông tư này gồm 4 Chương 10 Điều và Phụ lục kèm theo quy định chi tiết việc quản lý và sử dụng các chi phí trong lựa chọn nhà thầu, nhà đầu tư trên Hệ thống theo quy định tại Luật Đấu thầu, Luật Đầu tư theo phương thức đối tác công tư.</w:t>
      </w:r>
    </w:p>
    <w:p w14:paraId="619F2911" w14:textId="77777777" w:rsidR="004F4E6E" w:rsidRPr="004F4E6E" w:rsidRDefault="004F4E6E" w:rsidP="004F4E6E">
      <w:pPr>
        <w:spacing w:before="120" w:after="120" w:line="400" w:lineRule="exact"/>
        <w:ind w:firstLine="720"/>
        <w:rPr>
          <w:lang w:val="en-US"/>
        </w:rPr>
      </w:pPr>
      <w:r w:rsidRPr="004F4E6E">
        <w:rPr>
          <w:lang w:val="en-US"/>
        </w:rPr>
        <w:t>Đối tượng áp dụng gồm tổ chức, cá nhân tham gia, sử dụng hoặc có liên quan đến hoạt động đấu thầu trên Hệ thống; Tổ chức, cá nhân liên quan đến việc quản lý, vận hành Hệ thống.</w:t>
      </w:r>
    </w:p>
    <w:p w14:paraId="7BF39159" w14:textId="77777777" w:rsidR="004F4E6E" w:rsidRPr="004F4E6E" w:rsidRDefault="004F4E6E" w:rsidP="004F4E6E">
      <w:pPr>
        <w:spacing w:before="120" w:after="120" w:line="400" w:lineRule="exact"/>
        <w:ind w:firstLine="720"/>
        <w:rPr>
          <w:lang w:val="en-US"/>
        </w:rPr>
      </w:pPr>
      <w:r w:rsidRPr="004F4E6E">
        <w:rPr>
          <w:lang w:val="en-US"/>
        </w:rPr>
        <w:t>Theo đó, mức thu các loại chi phí trong lựa chọn nhà thầu, nhà đầu tư qua trên Hệ thống mạng đấu thầu quốc gia được quy định như sau:</w:t>
      </w:r>
    </w:p>
    <w:p w14:paraId="2EC65BB2" w14:textId="15B8457F" w:rsidR="004F4E6E" w:rsidRPr="004F4E6E" w:rsidRDefault="004F4E6E" w:rsidP="004F4E6E">
      <w:pPr>
        <w:spacing w:before="120" w:after="120" w:line="400" w:lineRule="exact"/>
        <w:ind w:firstLine="720"/>
        <w:rPr>
          <w:lang w:val="en-US"/>
        </w:rPr>
      </w:pPr>
      <w:r w:rsidRPr="004F4E6E">
        <w:rPr>
          <w:lang w:val="en-US"/>
        </w:rPr>
        <w:t xml:space="preserve">Về chi phí duy trì tên và hồ sơ năng lực của nhà thầu trên Hệ thống thực hiện theo quy định tại điểm a khoản 11 Điều 12 Nghị định </w:t>
      </w:r>
      <w:r w:rsidR="002D3F2C">
        <w:rPr>
          <w:lang w:val="en-US"/>
        </w:rPr>
        <w:t xml:space="preserve">số </w:t>
      </w:r>
      <w:r w:rsidRPr="004F4E6E">
        <w:rPr>
          <w:lang w:val="en-US"/>
        </w:rPr>
        <w:t xml:space="preserve">24/2024/NĐ-CP </w:t>
      </w:r>
      <w:r w:rsidR="005E1768">
        <w:rPr>
          <w:lang w:val="en-US"/>
        </w:rPr>
        <w:t xml:space="preserve">ngày 27/02/2024 của Chính phủ </w:t>
      </w:r>
      <w:r w:rsidR="002D3F2C">
        <w:rPr>
          <w:lang w:val="en-US"/>
        </w:rPr>
        <w:t xml:space="preserve">quy định chi tiết một số điều và biện pháp thi hành Luật Đấu thầu về lựa chọn nhà thầu (sau đây gọi là </w:t>
      </w:r>
      <w:r w:rsidR="002D3F2C" w:rsidRPr="004F4E6E">
        <w:rPr>
          <w:lang w:val="en-US"/>
        </w:rPr>
        <w:t xml:space="preserve">Nghị định </w:t>
      </w:r>
      <w:r w:rsidR="002D3F2C">
        <w:rPr>
          <w:lang w:val="en-US"/>
        </w:rPr>
        <w:t xml:space="preserve">số </w:t>
      </w:r>
      <w:r w:rsidR="002D3F2C" w:rsidRPr="004F4E6E">
        <w:rPr>
          <w:lang w:val="en-US"/>
        </w:rPr>
        <w:t>24/2024/NĐ-CP</w:t>
      </w:r>
      <w:r w:rsidR="002D3F2C">
        <w:rPr>
          <w:lang w:val="en-US"/>
        </w:rPr>
        <w:t>)</w:t>
      </w:r>
      <w:r w:rsidRPr="004F4E6E">
        <w:rPr>
          <w:lang w:val="en-US"/>
        </w:rPr>
        <w:t>.</w:t>
      </w:r>
    </w:p>
    <w:p w14:paraId="627813A2" w14:textId="77777777" w:rsidR="004F4E6E" w:rsidRPr="004F4E6E" w:rsidRDefault="004F4E6E" w:rsidP="004F4E6E">
      <w:pPr>
        <w:spacing w:before="120" w:after="120" w:line="400" w:lineRule="exact"/>
        <w:ind w:firstLine="720"/>
        <w:rPr>
          <w:lang w:val="en-US"/>
        </w:rPr>
      </w:pPr>
      <w:r w:rsidRPr="004F4E6E">
        <w:rPr>
          <w:lang w:val="en-US"/>
        </w:rPr>
        <w:lastRenderedPageBreak/>
        <w:t>Chi phí duy trì tên và hồ sơ năng lực của nhà đầu tư trên Hệ thống là 330.000 đồng cho 01 năm (đã bao gồm thuế giá trị gia tăng). Nhà đầu tư nộp chi phí này kể từ năm thứ hai trở đi sau năm đăng ký tham gia Hệ thống.</w:t>
      </w:r>
    </w:p>
    <w:p w14:paraId="214119FB" w14:textId="38D9AAFC" w:rsidR="004F4E6E" w:rsidRPr="004F4E6E" w:rsidRDefault="004F4E6E" w:rsidP="004F4E6E">
      <w:pPr>
        <w:spacing w:before="120" w:after="120" w:line="400" w:lineRule="exact"/>
        <w:ind w:firstLine="720"/>
        <w:rPr>
          <w:lang w:val="en-US"/>
        </w:rPr>
      </w:pPr>
      <w:r w:rsidRPr="004F4E6E">
        <w:rPr>
          <w:lang w:val="en-US"/>
        </w:rPr>
        <w:t xml:space="preserve">Về chi phí nộp hồ sơ dự thầu trên Hệ thống thực hiện theo quy định tại điểm b khoản 11 Điều 12 của Nghị định </w:t>
      </w:r>
      <w:r w:rsidR="00E67F78">
        <w:rPr>
          <w:lang w:val="en-US"/>
        </w:rPr>
        <w:t xml:space="preserve">số </w:t>
      </w:r>
      <w:r w:rsidRPr="004F4E6E">
        <w:rPr>
          <w:lang w:val="en-US"/>
        </w:rPr>
        <w:t>24/2024/NĐ-CP .</w:t>
      </w:r>
    </w:p>
    <w:p w14:paraId="467FFA56" w14:textId="701D7897" w:rsidR="004F4E6E" w:rsidRPr="004F4E6E" w:rsidRDefault="004F4E6E" w:rsidP="004F4E6E">
      <w:pPr>
        <w:spacing w:before="120" w:after="120" w:line="400" w:lineRule="exact"/>
        <w:ind w:firstLine="720"/>
        <w:rPr>
          <w:lang w:val="en-US"/>
        </w:rPr>
      </w:pPr>
      <w:r w:rsidRPr="004F4E6E">
        <w:rPr>
          <w:lang w:val="en-US"/>
        </w:rPr>
        <w:t xml:space="preserve">Về chi phí đối với nhà thầu trúng thầu của gói thầu đấu thầu rộng rãi, đấu thầu hạn chế, chào hàng cạnh tranh, chào giá trực tuyến theo quy trình thông thường áp dụng đấu thầu qua mạng thực hiện theo quy định tại điểm c khoản 11 Điều 12 của Nghị định </w:t>
      </w:r>
      <w:r w:rsidR="00E67F78">
        <w:rPr>
          <w:lang w:val="en-US"/>
        </w:rPr>
        <w:t xml:space="preserve">số </w:t>
      </w:r>
      <w:r w:rsidRPr="004F4E6E">
        <w:rPr>
          <w:lang w:val="en-US"/>
        </w:rPr>
        <w:t>24/2024/NĐ-CP .</w:t>
      </w:r>
    </w:p>
    <w:p w14:paraId="1ED5E936" w14:textId="77463C3A" w:rsidR="004F4E6E" w:rsidRPr="004F4E6E" w:rsidRDefault="004F4E6E" w:rsidP="004F4E6E">
      <w:pPr>
        <w:spacing w:before="120" w:after="120" w:line="400" w:lineRule="exact"/>
        <w:ind w:firstLine="720"/>
        <w:rPr>
          <w:lang w:val="en-US"/>
        </w:rPr>
      </w:pPr>
      <w:r w:rsidRPr="004F4E6E">
        <w:rPr>
          <w:lang w:val="en-US"/>
        </w:rPr>
        <w:t>Về chi phí kết nối chức năng bảo lãnh dự thầu điện tử giữa Hệ thống với các tổ chức tín dụng trong nước, chi nhánh ngân hàng nước ngoài được thành lập theo pháp luật Việt Nam, doanh nghiệp bảo hiểm phi nhân thọ trong nước, chỉ nhánh doanh nghiệp bảo hiểm phi nhân thọ nước ngoài được thành lập theo pháp luật Việt Nam thực hiện theo quy định tại điểm d khoản 11 Điều 12 của Nghị định</w:t>
      </w:r>
      <w:r w:rsidR="00E67F78">
        <w:rPr>
          <w:lang w:val="en-US"/>
        </w:rPr>
        <w:t xml:space="preserve"> số </w:t>
      </w:r>
      <w:r w:rsidRPr="004F4E6E">
        <w:rPr>
          <w:lang w:val="en-US"/>
        </w:rPr>
        <w:t>24/2024/NĐ-CP.</w:t>
      </w:r>
    </w:p>
    <w:p w14:paraId="6BC335CB" w14:textId="627BEA9A" w:rsidR="004F4E6E" w:rsidRPr="004F4E6E" w:rsidRDefault="004F4E6E" w:rsidP="004F4E6E">
      <w:pPr>
        <w:spacing w:before="120" w:after="120" w:line="400" w:lineRule="exact"/>
        <w:ind w:firstLine="720"/>
        <w:rPr>
          <w:lang w:val="en-US"/>
        </w:rPr>
      </w:pPr>
      <w:r w:rsidRPr="004F4E6E">
        <w:rPr>
          <w:lang w:val="en-US"/>
        </w:rPr>
        <w:t>Thông tư này có hiệu lực kể từ ngày ký ban hành.</w:t>
      </w:r>
    </w:p>
    <w:p w14:paraId="59CC820D" w14:textId="67B3C414" w:rsidR="004F4E6E" w:rsidRDefault="004F4E6E" w:rsidP="004F4E6E">
      <w:pPr>
        <w:spacing w:before="120" w:after="120" w:line="400" w:lineRule="exact"/>
        <w:ind w:firstLine="720"/>
        <w:rPr>
          <w:lang w:val="en-US"/>
        </w:rPr>
      </w:pPr>
      <w:r w:rsidRPr="004F4E6E">
        <w:rPr>
          <w:lang w:val="en-US"/>
        </w:rPr>
        <w:t xml:space="preserve">Kể từ ngày 19/4/2024, Thông tư </w:t>
      </w:r>
      <w:r w:rsidR="00E67F78">
        <w:rPr>
          <w:lang w:val="en-US"/>
        </w:rPr>
        <w:t xml:space="preserve">số </w:t>
      </w:r>
      <w:r w:rsidRPr="004F4E6E">
        <w:rPr>
          <w:lang w:val="en-US"/>
        </w:rPr>
        <w:t>06/2021/TT- BKHĐT quy định chi tiết việc thu, nộp, quản lý và sử dụng các chi phí về đăng ký, đăng tải thông tin, lựa chọn nhà thầu, nhà đầu tư trên Hệ thống mạng đấu thầu quốc gia, Báo Đấu thầu hết hiệu lực thi hành.</w:t>
      </w:r>
    </w:p>
    <w:p w14:paraId="2311D245" w14:textId="34CE6F6D" w:rsidR="00DE1D0C" w:rsidRPr="004F4E6E" w:rsidRDefault="00DE1D0C" w:rsidP="004F4E6E">
      <w:pPr>
        <w:spacing w:before="120" w:after="120" w:line="400" w:lineRule="exact"/>
        <w:ind w:firstLine="720"/>
        <w:rPr>
          <w:lang w:val="en-US"/>
        </w:rPr>
      </w:pPr>
      <w:r w:rsidRPr="00487D34">
        <w:rPr>
          <w:i/>
          <w:iCs/>
          <w:lang w:val="en-US"/>
        </w:rPr>
        <w:t>(Đính kèm: Thông tư số 0</w:t>
      </w:r>
      <w:r>
        <w:rPr>
          <w:i/>
          <w:iCs/>
          <w:lang w:val="en-US"/>
        </w:rPr>
        <w:t>5</w:t>
      </w:r>
      <w:r w:rsidRPr="00487D34">
        <w:rPr>
          <w:i/>
          <w:iCs/>
          <w:lang w:val="en-US"/>
        </w:rPr>
        <w:t xml:space="preserve">/2024/TT-BKHĐT ngày </w:t>
      </w:r>
      <w:r>
        <w:rPr>
          <w:i/>
          <w:iCs/>
          <w:lang w:val="en-US"/>
        </w:rPr>
        <w:t>19</w:t>
      </w:r>
      <w:r>
        <w:rPr>
          <w:i/>
          <w:iCs/>
          <w:lang w:val="en-US"/>
        </w:rPr>
        <w:t>/4</w:t>
      </w:r>
      <w:r w:rsidRPr="00487D34">
        <w:rPr>
          <w:i/>
          <w:iCs/>
          <w:lang w:val="en-US"/>
        </w:rPr>
        <w:t>/2024 của Bộ Kế hoạch và Đầu tư).</w:t>
      </w:r>
    </w:p>
    <w:p w14:paraId="0FC2A904" w14:textId="77777777" w:rsidR="004A6629" w:rsidRDefault="004A6629"/>
    <w:sectPr w:rsidR="004A6629" w:rsidSect="00AA79E1">
      <w:pgSz w:w="11906" w:h="16838" w:code="9"/>
      <w:pgMar w:top="1134" w:right="1134" w:bottom="1134" w:left="1701" w:header="567" w:footer="567"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29"/>
    <w:rsid w:val="00196F5E"/>
    <w:rsid w:val="001D7EF4"/>
    <w:rsid w:val="00206B9C"/>
    <w:rsid w:val="002B2991"/>
    <w:rsid w:val="002C5576"/>
    <w:rsid w:val="002D3F2C"/>
    <w:rsid w:val="004033E7"/>
    <w:rsid w:val="00471273"/>
    <w:rsid w:val="00487D34"/>
    <w:rsid w:val="004A6629"/>
    <w:rsid w:val="004C4B06"/>
    <w:rsid w:val="004C69D6"/>
    <w:rsid w:val="004F4E6E"/>
    <w:rsid w:val="005A4786"/>
    <w:rsid w:val="005E1768"/>
    <w:rsid w:val="0064666C"/>
    <w:rsid w:val="00675FBC"/>
    <w:rsid w:val="006B0BE8"/>
    <w:rsid w:val="007158B2"/>
    <w:rsid w:val="0074743D"/>
    <w:rsid w:val="007D0753"/>
    <w:rsid w:val="007E75A3"/>
    <w:rsid w:val="008B5243"/>
    <w:rsid w:val="009D0A17"/>
    <w:rsid w:val="00AA79E1"/>
    <w:rsid w:val="00B02D71"/>
    <w:rsid w:val="00BC0D53"/>
    <w:rsid w:val="00C82AEF"/>
    <w:rsid w:val="00D20A74"/>
    <w:rsid w:val="00D71922"/>
    <w:rsid w:val="00D837F0"/>
    <w:rsid w:val="00DE1D0C"/>
    <w:rsid w:val="00E22639"/>
    <w:rsid w:val="00E4618C"/>
    <w:rsid w:val="00E67F78"/>
    <w:rsid w:val="00E92A68"/>
    <w:rsid w:val="00F400F3"/>
    <w:rsid w:val="00FC4DC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9A6D0"/>
  <w15:chartTrackingRefBased/>
  <w15:docId w15:val="{1DB49B0E-913F-4D18-BED6-B980D4DF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62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4A66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66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662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662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662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662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6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66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662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4A662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662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662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662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66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66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6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62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A662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A6629"/>
    <w:pPr>
      <w:spacing w:before="160"/>
      <w:jc w:val="center"/>
    </w:pPr>
    <w:rPr>
      <w:i/>
      <w:iCs/>
      <w:color w:val="404040" w:themeColor="text1" w:themeTint="BF"/>
    </w:rPr>
  </w:style>
  <w:style w:type="character" w:customStyle="1" w:styleId="QuoteChar">
    <w:name w:val="Quote Char"/>
    <w:basedOn w:val="DefaultParagraphFont"/>
    <w:link w:val="Quote"/>
    <w:uiPriority w:val="29"/>
    <w:rsid w:val="004A6629"/>
    <w:rPr>
      <w:i/>
      <w:iCs/>
      <w:color w:val="404040" w:themeColor="text1" w:themeTint="BF"/>
    </w:rPr>
  </w:style>
  <w:style w:type="paragraph" w:styleId="ListParagraph">
    <w:name w:val="List Paragraph"/>
    <w:basedOn w:val="Normal"/>
    <w:uiPriority w:val="34"/>
    <w:qFormat/>
    <w:rsid w:val="004A6629"/>
    <w:pPr>
      <w:ind w:left="720"/>
      <w:contextualSpacing/>
    </w:pPr>
  </w:style>
  <w:style w:type="character" w:styleId="IntenseEmphasis">
    <w:name w:val="Intense Emphasis"/>
    <w:basedOn w:val="DefaultParagraphFont"/>
    <w:uiPriority w:val="21"/>
    <w:qFormat/>
    <w:rsid w:val="004A6629"/>
    <w:rPr>
      <w:i/>
      <w:iCs/>
      <w:color w:val="0F4761" w:themeColor="accent1" w:themeShade="BF"/>
    </w:rPr>
  </w:style>
  <w:style w:type="paragraph" w:styleId="IntenseQuote">
    <w:name w:val="Intense Quote"/>
    <w:basedOn w:val="Normal"/>
    <w:next w:val="Normal"/>
    <w:link w:val="IntenseQuoteChar"/>
    <w:uiPriority w:val="30"/>
    <w:qFormat/>
    <w:rsid w:val="004A6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6629"/>
    <w:rPr>
      <w:i/>
      <w:iCs/>
      <w:color w:val="0F4761" w:themeColor="accent1" w:themeShade="BF"/>
    </w:rPr>
  </w:style>
  <w:style w:type="character" w:styleId="IntenseReference">
    <w:name w:val="Intense Reference"/>
    <w:basedOn w:val="DefaultParagraphFont"/>
    <w:uiPriority w:val="32"/>
    <w:qFormat/>
    <w:rsid w:val="004A66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040642">
      <w:bodyDiv w:val="1"/>
      <w:marLeft w:val="0"/>
      <w:marRight w:val="0"/>
      <w:marTop w:val="0"/>
      <w:marBottom w:val="0"/>
      <w:divBdr>
        <w:top w:val="none" w:sz="0" w:space="0" w:color="auto"/>
        <w:left w:val="none" w:sz="0" w:space="0" w:color="auto"/>
        <w:bottom w:val="none" w:sz="0" w:space="0" w:color="auto"/>
        <w:right w:val="none" w:sz="0" w:space="0" w:color="auto"/>
      </w:divBdr>
    </w:div>
    <w:div w:id="150864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Windows 11</cp:lastModifiedBy>
  <cp:revision>6</cp:revision>
  <dcterms:created xsi:type="dcterms:W3CDTF">2024-05-09T08:27:00Z</dcterms:created>
  <dcterms:modified xsi:type="dcterms:W3CDTF">2024-05-09T08:36:00Z</dcterms:modified>
</cp:coreProperties>
</file>