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351" w:type="dxa"/>
        <w:tblCellSpacing w:w="0" w:type="dxa"/>
        <w:tblInd w:w="-142" w:type="dxa"/>
        <w:shd w:val="clear" w:color="auto" w:fill="FFFFFF"/>
        <w:tblLayout w:type="autofit"/>
        <w:tblCellMar>
          <w:top w:w="0" w:type="dxa"/>
          <w:left w:w="0" w:type="dxa"/>
          <w:bottom w:w="0" w:type="dxa"/>
          <w:right w:w="0" w:type="dxa"/>
        </w:tblCellMar>
      </w:tblPr>
      <w:tblGrid>
        <w:gridCol w:w="3686"/>
        <w:gridCol w:w="5665"/>
      </w:tblGrid>
      <w:tr w14:paraId="23DAAC8E">
        <w:tblPrEx>
          <w:tblCellMar>
            <w:top w:w="0" w:type="dxa"/>
            <w:left w:w="0" w:type="dxa"/>
            <w:bottom w:w="0" w:type="dxa"/>
            <w:right w:w="0" w:type="dxa"/>
          </w:tblCellMar>
        </w:tblPrEx>
        <w:trPr>
          <w:trHeight w:val="533" w:hRule="atLeast"/>
          <w:tblCellSpacing w:w="0" w:type="dxa"/>
        </w:trPr>
        <w:tc>
          <w:tcPr>
            <w:tcW w:w="3686" w:type="dxa"/>
            <w:shd w:val="clear" w:color="auto" w:fill="FFFFFF"/>
            <w:tcMar>
              <w:top w:w="0" w:type="dxa"/>
              <w:left w:w="108" w:type="dxa"/>
              <w:bottom w:w="0" w:type="dxa"/>
              <w:right w:w="108" w:type="dxa"/>
            </w:tcMar>
          </w:tcPr>
          <w:p w14:paraId="58C649E9">
            <w:pPr>
              <w:jc w:val="center"/>
              <w:rPr>
                <w:b/>
                <w:color w:val="000000" w:themeColor="text1"/>
                <w:sz w:val="26"/>
                <w:szCs w:val="26"/>
                <w14:textFill>
                  <w14:solidFill>
                    <w14:schemeClr w14:val="tx1"/>
                  </w14:solidFill>
                </w14:textFill>
              </w:rPr>
            </w:pPr>
            <w:r>
              <w:rPr>
                <w:color w:val="000000" w:themeColor="text1"/>
                <w:spacing w:val="-4"/>
                <w:sz w:val="24"/>
                <w:szCs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394335</wp:posOffset>
                      </wp:positionV>
                      <wp:extent cx="990600" cy="0"/>
                      <wp:effectExtent l="0" t="0" r="0" b="0"/>
                      <wp:wrapNone/>
                      <wp:docPr id="1478522310"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o:spt="20" style="position:absolute;left:0pt;margin-left:47.9pt;margin-top:31.05pt;height:0pt;width:78pt;z-index:251661312;mso-width-relative:page;mso-height-relative:page;" filled="f" stroked="t" coordsize="21600,21600" o:gfxdata="UEsDBAoAAAAAAIdO4kAAAAAAAAAAAAAAAAAEAAAAZHJzL1BLAwQUAAAACACHTuJAnHKCutUAAAAI&#10;AQAADwAAAGRycy9kb3ducmV2LnhtbE2PPU/EMAyGdyT+Q2QkNi5tpfugNL0BiQEJCSgMjLnG1xQS&#10;pzS5tvx7jBhg9Ptajx9X+8U7MeEY+0AK8lUGAqkNpqdOwevL3dUOREyajHaBUMEXRtjX52eVLk2Y&#10;6RmnJnWCIRRLrcCmNJRSxtai13EVBiTujmH0OvE4dtKMema4d7LIso30uie+YPWAtxbbj+bkmULb&#10;z+Pixrenxwe7a+Z3vJ+2qNTlRZ7dgEi4pL9l+NFndajZ6RBOZKJwCq7XbJ4UbIocBPfFOufg8BvI&#10;upL/H6i/AVBLAwQUAAAACACHTuJArCrtKdgBAAC8AwAADgAAAGRycy9lMm9Eb2MueG1srVPJbtsw&#10;EL0X6D8QvNeS7cZ1BMs52EgvRWsg6QfQFCkR4IYZxrL/vkPKWZpecqgO1HCWN3yPw83d2Vl2UoAm&#10;+JbPZzVnysvQGd+3/Pfj/Zc1Z5iE74QNXrX8opDfbT9/2oyxUYswBNspYATisRljy4eUYlNVKAfl&#10;BM5CVJ6COoATibbQVx2IkdCdrRZ1varGAF2EIBUiefdTkF8R4SOAQWsj1T7IJ6d8mlBBWZGIEg4m&#10;It+W02qtZPqlNarEbMuJaSorNSH7mNdquxFNDyIORl6PID5yhHecnDCemr5A7UUS7AnMP1DOSAgY&#10;dJrJ4KqJSFGEWMzrd9o8DCKqwoWkxvgiOv4/WPnzdABmOpqEr9/WN4vFck7SeOHo5h8SCNMPie2C&#10;96RkALbMgo0RG6rb+QNcdxgPkNmfNbj8J17sXES+vIiszolJct7e1quaesjnUPVaFwHTdxUcy0bL&#10;rfGZvmjE6Qcm6kWpzynZ7cO9sbZcofVsbPlqeZORBY2lpnEg00Wihr7nTNie5l0mKIgYrOlydcZB&#10;6I87C+wk8pSUL/Okbn+l5dZ7gcOUV0LT/DiT6ElY41q+flttPYFktSZ9snUM3aXIVvx0qaXNdQDz&#10;1Lzdl+rXR7f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xygrrVAAAACAEAAA8AAAAAAAAAAQAg&#10;AAAAIgAAAGRycy9kb3ducmV2LnhtbFBLAQIUABQAAAAIAIdO4kCsKu0p2AEAALwDAAAOAAAAAAAA&#10;AAEAIAAAACQBAABkcnMvZTJvRG9jLnhtbFBLBQYAAAAABgAGAFkBAABuBQAAAAA=&#10;">
                      <v:fill on="f" focussize="0,0"/>
                      <v:stroke weight="0.5pt" color="#000000 [3200]" miterlimit="8" joinstyle="miter"/>
                      <v:imagedata o:title=""/>
                      <o:lock v:ext="edit" aspectratio="f"/>
                    </v:line>
                  </w:pict>
                </mc:Fallback>
              </mc:AlternateContent>
            </w:r>
            <w:r>
              <w:rPr>
                <w:color w:val="000000" w:themeColor="text1"/>
                <w:spacing w:val="-4"/>
                <w:sz w:val="24"/>
                <w:szCs w:val="24"/>
                <w14:textFill>
                  <w14:solidFill>
                    <w14:schemeClr w14:val="tx1"/>
                  </w14:solidFill>
                </w14:textFill>
              </w:rPr>
              <w:t>UBND THÀNH PHỐ HẢI PHÒNG</w:t>
            </w:r>
            <w:r>
              <w:rPr>
                <w:b/>
                <w:color w:val="000000" w:themeColor="text1"/>
                <w:sz w:val="26"/>
                <w:szCs w:val="26"/>
                <w14:textFill>
                  <w14:solidFill>
                    <w14:schemeClr w14:val="tx1"/>
                  </w14:solidFill>
                </w14:textFill>
              </w:rPr>
              <w:br w:type="textWrapping"/>
            </w:r>
            <w:r>
              <w:rPr>
                <w:b/>
                <w:color w:val="000000" w:themeColor="text1"/>
                <w:sz w:val="24"/>
                <w:szCs w:val="24"/>
                <w14:textFill>
                  <w14:solidFill>
                    <w14:schemeClr w14:val="tx1"/>
                  </w14:solidFill>
                </w14:textFill>
              </w:rPr>
              <w:t>SỞ TÀI CHÍNH</w:t>
            </w:r>
          </w:p>
        </w:tc>
        <w:tc>
          <w:tcPr>
            <w:tcW w:w="5665" w:type="dxa"/>
            <w:shd w:val="clear" w:color="auto" w:fill="FFFFFF"/>
            <w:tcMar>
              <w:top w:w="0" w:type="dxa"/>
              <w:left w:w="108" w:type="dxa"/>
              <w:bottom w:w="0" w:type="dxa"/>
              <w:right w:w="108" w:type="dxa"/>
            </w:tcMar>
          </w:tcPr>
          <w:p w14:paraId="4A0E5B8A">
            <w:pPr>
              <w:spacing w:after="240"/>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403860</wp:posOffset>
                      </wp:positionV>
                      <wp:extent cx="2165350" cy="0"/>
                      <wp:effectExtent l="0" t="0" r="0" b="0"/>
                      <wp:wrapNone/>
                      <wp:docPr id="88243613" name="Straight Connector 6"/>
                      <wp:cNvGraphicFramePr/>
                      <a:graphic xmlns:a="http://schemas.openxmlformats.org/drawingml/2006/main">
                        <a:graphicData uri="http://schemas.microsoft.com/office/word/2010/wordprocessingShape">
                          <wps:wsp>
                            <wps:cNvCnPr/>
                            <wps:spPr>
                              <a:xfrm>
                                <a:off x="0" y="0"/>
                                <a:ext cx="216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o:spt="20" style="position:absolute;left:0pt;margin-top:31.8pt;height:0pt;width:170.5pt;mso-position-horizontal:center;z-index:251660288;mso-width-relative:page;mso-height-relative:page;" filled="f" stroked="t" coordsize="21600,21600" o:gfxdata="UEsDBAoAAAAAAIdO4kAAAAAAAAAAAAAAAAAEAAAAZHJzL1BLAwQUAAAACACHTuJAJ9u+OdMAAAAG&#10;AQAADwAAAGRycy9kb3ducmV2LnhtbE2PwU7DMAyG70i8Q2QkbiwtQ91Umu6AxAEJCeg4cMwarykk&#10;Tmmytrw9Rhzg6P+3Pn+udot3YsIx9oEU5KsMBFIbTE+dgtf9/dUWREyajHaBUMEXRtjV52eVLk2Y&#10;6QWnJnWCIRRLrcCmNJRSxtai13EVBiTujmH0OvE4dtKMema4d/I6ywrpdU98weoB7yy2H83JM4U2&#10;n8fFjW/PT49228zv+DBtUKnLizy7BZFwSX/L8KPP6lCz0yGcyEThFPAjSUGxLkBwu77JOTj8BrKu&#10;5H/9+htQSwMEFAAAAAgAh07iQKiwrAHXAQAAuwMAAA4AAABkcnMvZTJvRG9jLnhtbK1TyW7bMBC9&#10;F+g/ELzXku3EMATLOdhIL0VrIO0H0BQpEeCGGcay/75DynGWXnKoDtRwljd8j8PNw9lZdlKAJviW&#10;z2c1Z8rL0Bnft/zP78dva84wCd8JG7xq+UUhf9h+/bIZY6MWYQi2U8AIxGMzxpYPKcWmqlAOygmc&#10;hag8BXUAJxJtoa86ECOhO1st6npVjQG6CEEqRPLupyC/IsJnAIPWRqp9kM9O+TShgrIiESUcTES+&#10;LafVWsn0S2tUidmWE9NUVmpC9jGv1XYjmh5EHIy8HkF85ggfODlhPDW9Qe1FEuwZzD9QzkgIGHSa&#10;yeCqiUhRhFjM6w/aPA0iqsKFpMZ4Ex3/H6z8eToAM13L1+vF3XI1X3LmhaN7f0ogTD8ktgvek44B&#10;2CrLNUZsqGrnD3DdYTxA5n7W4PKfWLFzkfhyk1idE5PkXMxX93c1qS9fYtVrYQRM31VwLBstt8Zn&#10;9qIRpx+YqBmlvqRktw+Pxtpyg9azseWr5X1GFjSVmqaBTBeJGfqeM2F7GneZoCBisKbL1RkHoT/u&#10;LLCTyENSvkyUur1Ly633Aocpr4Sm8XEm0YuwxpGIb6utJ5As1yRQto6huxTdip/utLS5zl8emrf7&#10;Uv365r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fbvjnTAAAABgEAAA8AAAAAAAAAAQAgAAAA&#10;IgAAAGRycy9kb3ducmV2LnhtbFBLAQIUABQAAAAIAIdO4kCosKwB1wEAALsDAAAOAAAAAAAAAAEA&#10;IAAAACIBAABkcnMvZTJvRG9jLnhtbFBLBQYAAAAABgAGAFkBAABrBQAAAAA=&#10;">
                      <v:fill on="f" focussize="0,0"/>
                      <v:stroke weight="0.5pt" color="#000000 [3200]" miterlimit="8" joinstyle="miter"/>
                      <v:imagedata o:title=""/>
                      <o:lock v:ext="edit" aspectratio="f"/>
                    </v:line>
                  </w:pict>
                </mc:Fallback>
              </mc:AlternateContent>
            </w:r>
            <w:r>
              <w:rPr>
                <w:b/>
                <w:bCs/>
                <w:color w:val="000000" w:themeColor="text1"/>
                <w:sz w:val="26"/>
                <w:szCs w:val="26"/>
                <w:lang w:val="vi-VN"/>
                <w14:textFill>
                  <w14:solidFill>
                    <w14:schemeClr w14:val="tx1"/>
                  </w14:solidFill>
                </w14:textFill>
              </w:rPr>
              <w:t>CỘNG HÒA XÃ HỘI CHỦ NGHĨA VIỆT NAM</w:t>
            </w:r>
            <w:r>
              <w:rPr>
                <w:b/>
                <w:bCs/>
                <w:color w:val="000000" w:themeColor="text1"/>
                <w:sz w:val="26"/>
                <w:szCs w:val="26"/>
                <w14:textFill>
                  <w14:solidFill>
                    <w14:schemeClr w14:val="tx1"/>
                  </w14:solidFill>
                </w14:textFill>
              </w:rPr>
              <w:br w:type="textWrapping"/>
            </w:r>
            <w:r>
              <w:rPr>
                <w:b/>
                <w:bCs/>
                <w:color w:val="000000" w:themeColor="text1"/>
                <w:lang w:val="vi-VN"/>
                <w14:textFill>
                  <w14:solidFill>
                    <w14:schemeClr w14:val="tx1"/>
                  </w14:solidFill>
                </w14:textFill>
              </w:rPr>
              <w:t>Độc lập - Tự do - Hạnh phúc</w:t>
            </w:r>
          </w:p>
        </w:tc>
      </w:tr>
      <w:tr w14:paraId="5EE1DA94">
        <w:tblPrEx>
          <w:tblCellMar>
            <w:top w:w="0" w:type="dxa"/>
            <w:left w:w="0" w:type="dxa"/>
            <w:bottom w:w="0" w:type="dxa"/>
            <w:right w:w="0" w:type="dxa"/>
          </w:tblCellMar>
        </w:tblPrEx>
        <w:trPr>
          <w:trHeight w:val="55" w:hRule="atLeast"/>
          <w:tblCellSpacing w:w="0" w:type="dxa"/>
        </w:trPr>
        <w:tc>
          <w:tcPr>
            <w:tcW w:w="3686" w:type="dxa"/>
            <w:shd w:val="clear" w:color="auto" w:fill="FFFFFF"/>
            <w:tcMar>
              <w:top w:w="0" w:type="dxa"/>
              <w:left w:w="108" w:type="dxa"/>
              <w:bottom w:w="0" w:type="dxa"/>
              <w:right w:w="108" w:type="dxa"/>
            </w:tcMar>
          </w:tcPr>
          <w:p w14:paraId="2079F0DD">
            <w:pPr>
              <w:jc w:val="center"/>
              <w:rPr>
                <w:b/>
                <w:color w:val="000000" w:themeColor="text1"/>
                <w14:textFill>
                  <w14:solidFill>
                    <w14:schemeClr w14:val="tx1"/>
                  </w14:solidFill>
                </w14:textFill>
              </w:rPr>
            </w:pPr>
            <w:r>
              <w:rPr>
                <w:color w:val="000000" w:themeColor="text1"/>
                <w14:textFill>
                  <w14:solidFill>
                    <w14:schemeClr w14:val="tx1"/>
                  </w14:solidFill>
                </w14:textFill>
              </w:rPr>
              <w:t>Số:         /TTr-STC</w:t>
            </w:r>
          </w:p>
        </w:tc>
        <w:tc>
          <w:tcPr>
            <w:tcW w:w="5665" w:type="dxa"/>
            <w:shd w:val="clear" w:color="auto" w:fill="FFFFFF"/>
            <w:tcMar>
              <w:top w:w="0" w:type="dxa"/>
              <w:left w:w="108" w:type="dxa"/>
              <w:bottom w:w="0" w:type="dxa"/>
              <w:right w:w="108" w:type="dxa"/>
            </w:tcMar>
          </w:tcPr>
          <w:p w14:paraId="011A0942">
            <w:pPr>
              <w:jc w:val="center"/>
              <w:rPr>
                <w:color w:val="000000" w:themeColor="text1"/>
                <w14:textFill>
                  <w14:solidFill>
                    <w14:schemeClr w14:val="tx1"/>
                  </w14:solidFill>
                </w14:textFill>
              </w:rPr>
            </w:pPr>
            <w:r>
              <w:rPr>
                <w:i/>
                <w:iCs/>
                <w:color w:val="000000" w:themeColor="text1"/>
                <w14:textFill>
                  <w14:solidFill>
                    <w14:schemeClr w14:val="tx1"/>
                  </w14:solidFill>
                </w14:textFill>
              </w:rPr>
              <w:t xml:space="preserve">           Hải Phòng, </w:t>
            </w:r>
            <w:r>
              <w:rPr>
                <w:i/>
                <w:iCs/>
                <w:color w:val="000000" w:themeColor="text1"/>
                <w:lang w:val="vi-VN"/>
                <w14:textFill>
                  <w14:solidFill>
                    <w14:schemeClr w14:val="tx1"/>
                  </w14:solidFill>
                </w14:textFill>
              </w:rPr>
              <w:t>ngày</w:t>
            </w:r>
            <w:r>
              <w:rPr>
                <w:i/>
                <w:iCs/>
                <w:color w:val="000000" w:themeColor="text1"/>
                <w14:textFill>
                  <w14:solidFill>
                    <w14:schemeClr w14:val="tx1"/>
                  </w14:solidFill>
                </w14:textFill>
              </w:rPr>
              <w:t xml:space="preserve">      </w:t>
            </w:r>
            <w:r>
              <w:rPr>
                <w:i/>
                <w:iCs/>
                <w:color w:val="000000" w:themeColor="text1"/>
                <w:lang w:val="vi-VN"/>
                <w14:textFill>
                  <w14:solidFill>
                    <w14:schemeClr w14:val="tx1"/>
                  </w14:solidFill>
                </w14:textFill>
              </w:rPr>
              <w:t>tháng</w:t>
            </w:r>
            <w:r>
              <w:rPr>
                <w:i/>
                <w:iCs/>
                <w:color w:val="000000" w:themeColor="text1"/>
                <w14:textFill>
                  <w14:solidFill>
                    <w14:schemeClr w14:val="tx1"/>
                  </w14:solidFill>
                </w14:textFill>
              </w:rPr>
              <w:t xml:space="preserve">     </w:t>
            </w:r>
            <w:r>
              <w:rPr>
                <w:i/>
                <w:iCs/>
                <w:color w:val="000000" w:themeColor="text1"/>
                <w:lang w:val="vi-VN"/>
                <w14:textFill>
                  <w14:solidFill>
                    <w14:schemeClr w14:val="tx1"/>
                  </w14:solidFill>
                </w14:textFill>
              </w:rPr>
              <w:t>năm 20</w:t>
            </w:r>
            <w:r>
              <w:rPr>
                <w:i/>
                <w:iCs/>
                <w:color w:val="000000" w:themeColor="text1"/>
                <w14:textFill>
                  <w14:solidFill>
                    <w14:schemeClr w14:val="tx1"/>
                  </w14:solidFill>
                </w14:textFill>
              </w:rPr>
              <w:t>26</w:t>
            </w:r>
          </w:p>
        </w:tc>
      </w:tr>
    </w:tbl>
    <w:p w14:paraId="3AE304AC">
      <w:pPr>
        <w:shd w:val="clear" w:color="auto" w:fill="FFFFFF"/>
        <w:spacing w:before="120" w:after="120"/>
        <w:jc w:val="both"/>
        <w:rPr>
          <w:b/>
          <w:bCs/>
          <w:color w:val="000000" w:themeColor="text1"/>
          <w14:textFill>
            <w14:solidFill>
              <w14:schemeClr w14:val="tx1"/>
            </w14:solidFill>
          </w14:textFill>
        </w:rPr>
      </w:pPr>
      <w:r>
        <w:t xml:space="preserve">            </w:t>
      </w:r>
      <w:r>
        <w:rPr>
          <w:b/>
          <w:bCs/>
        </w:rPr>
        <w:t>DỰ THẢO</w:t>
      </w:r>
    </w:p>
    <w:p w14:paraId="22EC8422">
      <w:pPr>
        <w:shd w:val="clear" w:color="auto" w:fill="FFFFFF"/>
        <w:spacing w:before="120" w:after="120"/>
        <w:jc w:val="both"/>
        <w:rPr>
          <w:b/>
          <w:bCs/>
          <w:color w:val="000000" w:themeColor="text1"/>
          <w14:textFill>
            <w14:solidFill>
              <w14:schemeClr w14:val="tx1"/>
            </w14:solidFill>
          </w14:textFill>
        </w:rPr>
      </w:pPr>
    </w:p>
    <w:p w14:paraId="614C3672">
      <w:pPr>
        <w:shd w:val="clear" w:color="auto" w:fill="FFFFFF"/>
        <w:spacing w:before="120" w:after="120"/>
        <w:jc w:val="center"/>
        <w:rPr>
          <w:b/>
          <w:color w:val="000000" w:themeColor="text1"/>
          <w:position w:val="-2"/>
          <w14:textFill>
            <w14:solidFill>
              <w14:schemeClr w14:val="tx1"/>
            </w14:solidFill>
          </w14:textFill>
        </w:rPr>
      </w:pPr>
      <w:r>
        <w:rPr>
          <w:b/>
          <w:bCs/>
          <w:color w:val="000000" w:themeColor="text1"/>
          <w14:textFill>
            <w14:solidFill>
              <w14:schemeClr w14:val="tx1"/>
            </w14:solidFill>
          </w14:textFill>
        </w:rPr>
        <w:t>TỜ TRÌNH</w:t>
      </w:r>
      <w:r>
        <w:rPr>
          <w:color w:val="000000" w:themeColor="text1"/>
          <w14:textFill>
            <w14:solidFill>
              <w14:schemeClr w14:val="tx1"/>
            </w14:solidFill>
          </w14:textFill>
        </w:rPr>
        <w:br w:type="textWrapping"/>
      </w:r>
      <w:r>
        <w:rPr>
          <w:b/>
        </w:rPr>
        <w:t>Ban hành Quyết định q</w:t>
      </w:r>
      <w:r>
        <w:rPr>
          <w:b/>
          <w:lang w:val="nl-NL"/>
        </w:rPr>
        <w:t>uy định chính sách ưu đãi (miễn, giảm) tiền thuê nhà cho các đối tượng ưu tiên trên địa bàn</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thành phố Hải Phòng</w:t>
      </w:r>
    </w:p>
    <w:p w14:paraId="6F524C57">
      <w:pPr>
        <w:pStyle w:val="6"/>
        <w:spacing w:before="120"/>
        <w:ind w:left="0"/>
        <w:jc w:val="center"/>
        <w:rPr>
          <w:rFonts w:ascii="Times New Roman" w:hAnsi="Times New Roman"/>
          <w:bCs/>
          <w:color w:val="000000" w:themeColor="text1"/>
          <w:position w:val="-2"/>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15875</wp:posOffset>
                </wp:positionV>
                <wp:extent cx="1689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689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top:1.25pt;height:0pt;width:133pt;mso-position-horizontal:center;mso-position-horizontal-relative:margin;z-index:251659264;mso-width-relative:page;mso-height-relative:page;" filled="f" stroked="t" coordsize="21600,21600" o:gfxdata="UEsDBAoAAAAAAIdO4kAAAAAAAAAAAAAAAAAEAAAAZHJzL1BLAwQUAAAACACHTuJAkhjgANEAAAAE&#10;AQAADwAAAGRycy9kb3ducmV2LnhtbE2PQU+DQBCF7yb+h82YeLMLqESQpbEm6s3E1t6n7Aik7Cyy&#10;S1v/vaMXPX55k/e+qZYnN6gDTaH3bCBdJKCIG297bg28b56u7kCFiGxx8EwGvijAsj4/q7C0/shv&#10;dFjHVkkJhxINdDGOpdah6chhWPiRWLIPPzmMglOr7YRHKXeDzpIk1w57loUOR3rsqNmvZ2dgtSmu&#10;n+12ftm/Fjf0sCrSMH9ujbm8SJN7UJFO8e8YfvRFHWpx2vmZbVCDAXkkGshuQUmY5bnw7pd1Xen/&#10;8vU3UEsDBBQAAAAIAIdO4kCMTckJ2QEAAL4DAAAOAAAAZHJzL2Uyb0RvYy54bWytU01v2zAMvQ/Y&#10;fxB0X5xkSJAZcXpI0F2GLUC33RlZtgXoC6QaJ/9+lJx2bXfpYT4YEkk96j0+be8uzoqzRjLBN3Ix&#10;m0uhvQqt8X0jf/28/7SRghL4FmzwupFXTfJu9/HDdoy1XoYh2FajYBBP9RgbOaQU66oiNWgHNAtR&#10;e052AR0k3mJftQgjoztbLefzdTUGbCMGpYk4epiS8oaI7wEMXWeUPgT16LRPEypqC4kp0WAiyV25&#10;bddplX50HekkbCOZaSp/bsLrU/5Xuy3UPUIcjLpdAd5zhTecHBjPTZ+hDpBAPKL5B8oZhYFCl2Yq&#10;uGoiUhRhFov5G20eBoi6cGGpKT6LTv8PVn0/H1GYtpErKTw4HvhDQjD9kMQ+eM8CBhSrrNMYqeby&#10;vT/ibUfxiJn0pUMnOmvibzZUkYGJiUtR+fqssr4koTi4WG++LJY8APWUqyaIDBWR0lcdnMiLRlrj&#10;swBQw/kbJW7LpU8lOezDvbG2DNF6MTZy/XmVkYGN2bEheOkikyPfSwG2Z8erhAWRgjVtPp1xCPvT&#10;3qI4Q/ZJ+TJl7vaqLLc+AA1TXUlNDnIm8aOwxjVy8/K09QyShZukyqtTaK9FwRLnsZY2Nwtm37zc&#10;l9N/n93u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IY4ADRAAAABAEAAA8AAAAAAAAAAQAgAAAA&#10;IgAAAGRycy9kb3ducmV2LnhtbFBLAQIUABQAAAAIAIdO4kCMTckJ2QEAAL4DAAAOAAAAAAAAAAEA&#10;IAAAACABAABkcnMvZTJvRG9jLnhtbFBLBQYAAAAABgAGAFkBAABrBQAAAAA=&#10;">
                <v:fill on="f" focussize="0,0"/>
                <v:stroke weight="0.5pt" color="#000000 [3200]" miterlimit="8" joinstyle="miter"/>
                <v:imagedata o:title=""/>
                <o:lock v:ext="edit" aspectratio="f"/>
              </v:line>
            </w:pict>
          </mc:Fallback>
        </mc:AlternateContent>
      </w:r>
    </w:p>
    <w:p w14:paraId="43D1A2D5">
      <w:pPr>
        <w:pStyle w:val="6"/>
        <w:spacing w:before="120"/>
        <w:ind w:left="0"/>
        <w:jc w:val="center"/>
        <w:rPr>
          <w:rFonts w:ascii="Times New Roman" w:hAnsi="Times New Roman"/>
          <w:bCs/>
          <w:color w:val="000000" w:themeColor="text1"/>
          <w:position w:val="-2"/>
          <w:lang w:val="vi-VN"/>
          <w14:textFill>
            <w14:solidFill>
              <w14:schemeClr w14:val="tx1"/>
            </w14:solidFill>
          </w14:textFill>
        </w:rPr>
      </w:pPr>
      <w:r>
        <w:rPr>
          <w:rFonts w:ascii="Times New Roman" w:hAnsi="Times New Roman"/>
          <w:bCs/>
          <w:color w:val="000000" w:themeColor="text1"/>
          <w:position w:val="-2"/>
          <w14:textFill>
            <w14:solidFill>
              <w14:schemeClr w14:val="tx1"/>
            </w14:solidFill>
          </w14:textFill>
        </w:rPr>
        <w:t xml:space="preserve">Kính gửi: </w:t>
      </w:r>
      <w:r>
        <w:rPr>
          <w:rFonts w:ascii="Times New Roman" w:hAnsi="Times New Roman"/>
          <w:color w:val="000000" w:themeColor="text1"/>
          <w14:textFill>
            <w14:solidFill>
              <w14:schemeClr w14:val="tx1"/>
            </w14:solidFill>
          </w14:textFill>
        </w:rPr>
        <w:t>Ủy ban nhân dân thành phố</w:t>
      </w:r>
    </w:p>
    <w:p w14:paraId="5C60A30A">
      <w:pPr>
        <w:spacing w:before="120" w:after="120"/>
        <w:jc w:val="both"/>
        <w:rPr>
          <w:color w:val="000000" w:themeColor="text1"/>
          <w:lang w:val="vi-VN"/>
          <w14:textFill>
            <w14:solidFill>
              <w14:schemeClr w14:val="tx1"/>
            </w14:solidFill>
          </w14:textFill>
        </w:rPr>
      </w:pPr>
    </w:p>
    <w:p w14:paraId="025B926D">
      <w:pPr>
        <w:widowControl w:val="0"/>
        <w:spacing w:before="144" w:beforeLines="60" w:after="144" w:afterLines="60" w:line="340" w:lineRule="exact"/>
        <w:ind w:firstLine="720"/>
        <w:jc w:val="both"/>
        <w:rPr>
          <w:color w:val="000000" w:themeColor="text1"/>
          <w:lang w:val="vi-VN"/>
          <w14:textFill>
            <w14:solidFill>
              <w14:schemeClr w14:val="tx1"/>
            </w14:solidFill>
          </w14:textFill>
        </w:rPr>
      </w:pPr>
      <w:r>
        <w:rPr>
          <w:color w:val="000000" w:themeColor="text1"/>
          <w14:textFill>
            <w14:solidFill>
              <w14:schemeClr w14:val="tx1"/>
            </w14:solidFill>
          </w14:textFill>
        </w:rPr>
        <w:t xml:space="preserve">Thực hiện quy định của Luật Ban hành văn bản quy phạm pháp luật ngày </w:t>
      </w:r>
      <w:r>
        <w:rPr>
          <w:iCs/>
          <w:color w:val="000000" w:themeColor="text1"/>
          <w:lang w:val="pt-BR" w:eastAsia="vi-VN"/>
          <w14:textFill>
            <w14:solidFill>
              <w14:schemeClr w14:val="tx1"/>
            </w14:solidFill>
          </w14:textFill>
        </w:rPr>
        <w:t>19/2/2025</w:t>
      </w:r>
      <w:r>
        <w:rPr>
          <w:color w:val="000000" w:themeColor="text1"/>
          <w14:textFill>
            <w14:solidFill>
              <w14:schemeClr w14:val="tx1"/>
            </w14:solidFill>
          </w14:textFill>
        </w:rPr>
        <w:t xml:space="preserve">; </w:t>
      </w:r>
      <w:r>
        <w:rPr>
          <w:rStyle w:val="21"/>
          <w:color w:val="000000" w:themeColor="text1"/>
          <w14:textFill>
            <w14:solidFill>
              <w14:schemeClr w14:val="tx1"/>
            </w14:solidFill>
          </w14:textFill>
        </w:rPr>
        <w:t>Nghị định số 108/2024/NĐ-CP ngày 23/8/2024 của Chính phủ</w:t>
      </w:r>
      <w:r>
        <w:rPr>
          <w:rFonts w:ascii="TimesNewRomanPSMT" w:hAnsi="TimesNewRomanPSMT"/>
          <w:color w:val="000000" w:themeColor="text1"/>
          <w14:textFill>
            <w14:solidFill>
              <w14:schemeClr w14:val="tx1"/>
            </w14:solidFill>
          </w14:textFill>
        </w:rPr>
        <w:t xml:space="preserve"> </w:t>
      </w:r>
      <w:r>
        <w:rPr>
          <w:rStyle w:val="21"/>
          <w:color w:val="000000" w:themeColor="text1"/>
          <w14:textFill>
            <w14:solidFill>
              <w14:schemeClr w14:val="tx1"/>
            </w14:solidFill>
          </w14:textFill>
        </w:rPr>
        <w:t>quy định việc quản lý, sử dụng và khai thác nhà, đất là tài sản công không sử dụng</w:t>
      </w:r>
      <w:r>
        <w:rPr>
          <w:rFonts w:ascii="TimesNewRomanPSMT" w:hAnsi="TimesNewRomanPSMT"/>
          <w:color w:val="000000" w:themeColor="text1"/>
          <w14:textFill>
            <w14:solidFill>
              <w14:schemeClr w14:val="tx1"/>
            </w14:solidFill>
          </w14:textFill>
        </w:rPr>
        <w:t xml:space="preserve"> </w:t>
      </w:r>
      <w:r>
        <w:rPr>
          <w:rStyle w:val="21"/>
          <w:color w:val="000000" w:themeColor="text1"/>
          <w14:textFill>
            <w14:solidFill>
              <w14:schemeClr w14:val="tx1"/>
            </w14:solidFill>
          </w14:textFill>
        </w:rPr>
        <w:t>vào mục đích để ở giao cho tổ chức có chức năng quản lý, kinh doanh nhà địa</w:t>
      </w:r>
      <w:r>
        <w:rPr>
          <w:rFonts w:ascii="TimesNewRomanPSMT" w:hAnsi="TimesNewRomanPSMT"/>
          <w:color w:val="000000" w:themeColor="text1"/>
          <w14:textFill>
            <w14:solidFill>
              <w14:schemeClr w14:val="tx1"/>
            </w14:solidFill>
          </w14:textFill>
        </w:rPr>
        <w:t xml:space="preserve"> </w:t>
      </w:r>
      <w:r>
        <w:rPr>
          <w:rStyle w:val="21"/>
          <w:color w:val="000000" w:themeColor="text1"/>
          <w14:textFill>
            <w14:solidFill>
              <w14:schemeClr w14:val="tx1"/>
            </w14:solidFill>
          </w14:textFill>
        </w:rPr>
        <w:t>phương quản lý, khai thác (được sửa đổi, bổ sung Nghị định số 286/2025NĐ-CP ngày 03/11/2025).</w:t>
      </w:r>
      <w:r>
        <w:rPr>
          <w:color w:val="000000" w:themeColor="text1"/>
          <w14:textFill>
            <w14:solidFill>
              <w14:schemeClr w14:val="tx1"/>
            </w14:solidFill>
          </w14:textFill>
        </w:rPr>
        <w:t xml:space="preserve"> Sở Tài chính kính trình Ủy ban nhân dân thành phố dự thảo</w:t>
      </w:r>
      <w:r>
        <w:rPr>
          <w:color w:val="000000" w:themeColor="text1"/>
          <w:lang w:val="vi-VN"/>
          <w14:textFill>
            <w14:solidFill>
              <w14:schemeClr w14:val="tx1"/>
            </w14:solidFill>
          </w14:textFill>
        </w:rPr>
        <w:t xml:space="preserve"> </w:t>
      </w:r>
      <w:r>
        <w:rPr>
          <w:bCs/>
          <w:color w:val="000000" w:themeColor="text1"/>
          <w14:textFill>
            <w14:solidFill>
              <w14:schemeClr w14:val="tx1"/>
            </w14:solidFill>
          </w14:textFill>
        </w:rPr>
        <w:t xml:space="preserve">Quyết định </w:t>
      </w:r>
      <w:r>
        <w:rPr>
          <w:rFonts w:eastAsia="Calibri"/>
          <w:color w:val="000000" w:themeColor="text1"/>
          <w:spacing w:val="2"/>
          <w14:textFill>
            <w14:solidFill>
              <w14:schemeClr w14:val="tx1"/>
            </w14:solidFill>
          </w14:textFill>
        </w:rPr>
        <w:t>q</w:t>
      </w:r>
      <w:r>
        <w:rPr>
          <w:color w:val="000000" w:themeColor="text1"/>
          <w:spacing w:val="2"/>
          <w14:textFill>
            <w14:solidFill>
              <w14:schemeClr w14:val="tx1"/>
            </w14:solidFill>
          </w14:textFill>
        </w:rPr>
        <w:t>uy định</w:t>
      </w:r>
      <w:r>
        <w:rPr>
          <w:rFonts w:eastAsia="Calibri"/>
          <w:color w:val="000000" w:themeColor="text1"/>
          <w:spacing w:val="2"/>
          <w14:textFill>
            <w14:solidFill>
              <w14:schemeClr w14:val="tx1"/>
            </w14:solidFill>
          </w14:textFill>
        </w:rPr>
        <w:t xml:space="preserve"> </w:t>
      </w:r>
      <w:r>
        <w:rPr>
          <w:color w:val="000000" w:themeColor="text1"/>
          <w:spacing w:val="2"/>
          <w14:textFill>
            <w14:solidFill>
              <w14:schemeClr w14:val="tx1"/>
            </w14:solidFill>
          </w14:textFill>
        </w:rPr>
        <w:t>chính sách ưu đãi (miễn, giảm) tiền thuê nhà</w:t>
      </w:r>
      <w:r>
        <w:rPr>
          <w:b/>
          <w:lang w:val="nl-NL"/>
        </w:rPr>
        <w:t xml:space="preserve"> </w:t>
      </w:r>
      <w:r>
        <w:rPr>
          <w:color w:val="000000" w:themeColor="text1"/>
          <w:spacing w:val="2"/>
          <w14:textFill>
            <w14:solidFill>
              <w14:schemeClr w14:val="tx1"/>
            </w14:solidFill>
          </w14:textFill>
        </w:rPr>
        <w:t>cho các đối tượng ưu tiên trên địa bàn thành phố Hải Phòng</w:t>
      </w:r>
      <w:r>
        <w:rPr>
          <w:bCs/>
          <w:color w:val="000000" w:themeColor="text1"/>
          <w:lang w:val="vi-VN"/>
          <w14:textFill>
            <w14:solidFill>
              <w14:schemeClr w14:val="tx1"/>
            </w14:solidFill>
          </w14:textFill>
        </w:rPr>
        <w:t xml:space="preserve">, </w:t>
      </w:r>
      <w:r>
        <w:rPr>
          <w:bCs/>
          <w:color w:val="000000" w:themeColor="text1"/>
          <w14:textFill>
            <w14:solidFill>
              <w14:schemeClr w14:val="tx1"/>
            </w14:solidFill>
          </w14:textFill>
        </w:rPr>
        <w:t xml:space="preserve">với các nội dung </w:t>
      </w:r>
      <w:r>
        <w:rPr>
          <w:bCs/>
          <w:color w:val="000000" w:themeColor="text1"/>
          <w:lang w:val="vi-VN"/>
          <w14:textFill>
            <w14:solidFill>
              <w14:schemeClr w14:val="tx1"/>
            </w14:solidFill>
          </w14:textFill>
        </w:rPr>
        <w:t>như sau</w:t>
      </w:r>
      <w:r>
        <w:rPr>
          <w:bCs/>
          <w:color w:val="000000" w:themeColor="text1"/>
          <w14:textFill>
            <w14:solidFill>
              <w14:schemeClr w14:val="tx1"/>
            </w14:solidFill>
          </w14:textFill>
        </w:rPr>
        <w:t>:</w:t>
      </w:r>
    </w:p>
    <w:p w14:paraId="0E0D0045">
      <w:pP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bCs/>
          <w:color w:val="000000" w:themeColor="text1"/>
          <w14:textFill>
            <w14:solidFill>
              <w14:schemeClr w14:val="tx1"/>
            </w14:solidFill>
          </w14:textFill>
        </w:rPr>
        <w:t>I. SỰ CẦN THIẾT BAN HÀNH QUYẾT ĐỊNH</w:t>
      </w:r>
    </w:p>
    <w:p w14:paraId="12607809">
      <w:pP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bCs/>
          <w:color w:val="000000" w:themeColor="text1"/>
          <w14:textFill>
            <w14:solidFill>
              <w14:schemeClr w14:val="tx1"/>
            </w14:solidFill>
          </w14:textFill>
        </w:rPr>
        <w:t>1. Cơ sở pháp lý</w:t>
      </w:r>
    </w:p>
    <w:p w14:paraId="19E27B8B">
      <w:pPr>
        <w:widowControl w:val="0"/>
        <w:spacing w:before="144" w:beforeLines="60" w:after="144" w:afterLines="60" w:line="340" w:lineRule="exact"/>
        <w:ind w:firstLine="720"/>
        <w:jc w:val="both"/>
      </w:pPr>
      <w:r>
        <w:t xml:space="preserve">- Tại điểm a khoản 2 Điều 10 Nghị định số 108/2024/NĐ-CP ngày 23/8/2024 của Chính phủ (được sửa đổi, bổ sung tại khoản 5 Điều 1 Nghị định số 286/2025/NĐ-CP ngày 03/11/2025 của Chính phủ) quy định: </w:t>
      </w:r>
    </w:p>
    <w:p w14:paraId="2C20B144">
      <w:pPr>
        <w:widowControl w:val="0"/>
        <w:spacing w:before="144" w:beforeLines="60" w:after="144" w:afterLines="60" w:line="340" w:lineRule="exact"/>
        <w:ind w:firstLine="720"/>
        <w:jc w:val="both"/>
        <w:rPr>
          <w:i/>
          <w:iCs/>
        </w:rPr>
      </w:pPr>
      <w:r>
        <w:t>“</w:t>
      </w:r>
      <w:r>
        <w:rPr>
          <w:i/>
          <w:iCs/>
        </w:rPr>
        <w:t xml:space="preserve">a) Cho các đối tượng ưu tiên thuê nhà, gồm: </w:t>
      </w:r>
    </w:p>
    <w:p w14:paraId="404D5AA0">
      <w:pPr>
        <w:widowControl w:val="0"/>
        <w:spacing w:before="144" w:beforeLines="60" w:after="144" w:afterLines="60" w:line="340" w:lineRule="exact"/>
        <w:ind w:firstLine="720"/>
        <w:jc w:val="both"/>
        <w:rPr>
          <w:i/>
          <w:iCs/>
        </w:rPr>
      </w:pPr>
      <w:r>
        <w:rPr>
          <w:i/>
          <w:iCs/>
        </w:rPr>
        <w:t xml:space="preserve">Tổ chức hội do Đảng, Nhà nước giao nhiệm vụ theo văn bản của cơ quan, người có thẩm quyền thuê để làm trụ sở làm việc trong trường hợp chưa có trụ sở làm việc; </w:t>
      </w:r>
    </w:p>
    <w:p w14:paraId="356B4022">
      <w:pPr>
        <w:widowControl w:val="0"/>
        <w:spacing w:before="144" w:beforeLines="60" w:after="144" w:afterLines="60" w:line="340" w:lineRule="exact"/>
        <w:ind w:firstLine="720"/>
        <w:jc w:val="both"/>
        <w:rPr>
          <w:i/>
          <w:iCs/>
        </w:rPr>
      </w:pPr>
      <w:r>
        <w:rPr>
          <w:i/>
          <w:iCs/>
        </w:rPr>
        <w:t xml:space="preserve">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 </w:t>
      </w:r>
    </w:p>
    <w:p w14:paraId="00415435">
      <w:pPr>
        <w:widowControl w:val="0"/>
        <w:spacing w:before="144" w:beforeLines="60" w:after="144" w:afterLines="60" w:line="340" w:lineRule="exact"/>
        <w:ind w:firstLine="720"/>
        <w:jc w:val="both"/>
      </w:pPr>
      <w:r>
        <w:rPr>
          <w:i/>
          <w:iCs/>
        </w:rPr>
        <w:t>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r>
        <w:t xml:space="preserve"> </w:t>
      </w:r>
    </w:p>
    <w:p w14:paraId="2B62942A">
      <w:pPr>
        <w:widowControl w:val="0"/>
        <w:spacing w:before="144" w:beforeLines="60" w:after="144" w:afterLines="60" w:line="340" w:lineRule="exact"/>
        <w:ind w:firstLine="720"/>
        <w:jc w:val="both"/>
      </w:pPr>
      <w:r>
        <w:t xml:space="preserve">- Tại khoản 2 Điều 16 Nghị định số 108/2024/NĐ-CP ngày 23/8/2024 của Chính phủ (được sửa đổi, bổ sung tại điểm a khoản 8 Điều 1 Nghị định số 286/2025/NĐ-CP ngày 03/11/2025 của Chính phủ) quy định: </w:t>
      </w:r>
    </w:p>
    <w:p w14:paraId="0FFAF188">
      <w:pPr>
        <w:widowControl w:val="0"/>
        <w:spacing w:before="144" w:beforeLines="60" w:after="144" w:afterLines="60" w:line="340" w:lineRule="exact"/>
        <w:ind w:firstLine="720"/>
        <w:jc w:val="both"/>
      </w:pPr>
      <w:r>
        <w:t xml:space="preserve"> “</w:t>
      </w:r>
      <w:r>
        <w:rPr>
          <w:i/>
          <w:iCs/>
        </w:rPr>
        <w:t>2. Căn cứ thực tế của địa phương, Ủy ban nhân dân cấp tỉnh quy định chính sách ưu đãi (miễn, giảm) tiền thuê nhà cho các đối tượng ưu tiên quy định tại điểm a khoản 2 Điều 10 Nghị định này. …”</w:t>
      </w:r>
    </w:p>
    <w:p w14:paraId="7A147897">
      <w:pPr>
        <w:pStyle w:val="15"/>
        <w:shd w:val="clear" w:color="auto" w:fill="FFFFFF"/>
        <w:spacing w:before="144" w:beforeLines="60" w:beforeAutospacing="0" w:after="144" w:afterLines="60" w:afterAutospacing="0" w:line="360" w:lineRule="exact"/>
        <w:ind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Tại điểm b khoản 2 Điều 21 Luật Ban hành văn bản quy phạm pháp luật số 64/2025/QH15 (được sửa đổi, bổ sung bởi Luật số 87/2025/QH15) thì: Ủy ban nhân dân cấp tỉnh ban hành quyết định để quy định: “</w:t>
      </w:r>
      <w:r>
        <w:rPr>
          <w:i/>
          <w:iCs/>
          <w:color w:val="000000" w:themeColor="text1"/>
          <w:sz w:val="28"/>
          <w:szCs w:val="28"/>
          <w14:textFill>
            <w14:solidFill>
              <w14:schemeClr w14:val="tx1"/>
            </w14:solidFill>
          </w14:textFill>
        </w:rPr>
        <w:t>Biện pháp thi hành Hiến pháp, luật, văn bản quy phạm pháp luật của cơ quan nhà nước cấp trên, nghị quyết của Hội đồng nhân dân cùng cấp về phát triển kinh tế - xã hội, ngân sách, quốc phòng, an ninh ở địa phương</w:t>
      </w:r>
      <w:r>
        <w:rPr>
          <w:color w:val="000000" w:themeColor="text1"/>
          <w:sz w:val="28"/>
          <w:szCs w:val="28"/>
          <w14:textFill>
            <w14:solidFill>
              <w14:schemeClr w14:val="tx1"/>
            </w14:solidFill>
          </w14:textFill>
        </w:rPr>
        <w:t>”.</w:t>
      </w:r>
    </w:p>
    <w:p w14:paraId="0027DD8E">
      <w:pPr>
        <w:pStyle w:val="15"/>
        <w:shd w:val="clear" w:color="auto" w:fill="FFFFFF"/>
        <w:spacing w:before="144" w:beforeLines="60" w:beforeAutospacing="0" w:after="144" w:afterLines="60" w:afterAutospacing="0" w:line="360" w:lineRule="exact"/>
        <w:ind w:firstLine="720"/>
        <w:jc w:val="both"/>
        <w:rPr>
          <w:color w:val="000000" w:themeColor="text1"/>
          <w:sz w:val="28"/>
          <w:szCs w:val="28"/>
          <w14:textFill>
            <w14:solidFill>
              <w14:schemeClr w14:val="tx1"/>
            </w14:solidFill>
          </w14:textFill>
        </w:rPr>
      </w:pPr>
      <w:r>
        <w:rPr>
          <w:rStyle w:val="21"/>
          <w:color w:val="000000" w:themeColor="text1"/>
          <w14:textFill>
            <w14:solidFill>
              <w14:schemeClr w14:val="tx1"/>
            </w14:solidFill>
          </w14:textFill>
        </w:rPr>
        <w:t xml:space="preserve">Theo đó, </w:t>
      </w:r>
      <w:r>
        <w:rPr>
          <w:color w:val="000000" w:themeColor="text1"/>
          <w:spacing w:val="2"/>
          <w:sz w:val="28"/>
          <w:szCs w:val="28"/>
          <w14:textFill>
            <w14:solidFill>
              <w14:schemeClr w14:val="tx1"/>
            </w14:solidFill>
          </w14:textFill>
        </w:rPr>
        <w:t>Uỷ ban nhân dân thành phố ban hành Quyết định quy định chính sách ưu đãi (miễn, giảm) tiền thuê nhà cho các đối tượng ưu tiên trên địa bàn thành phố Hải Phòng</w:t>
      </w:r>
      <w:r>
        <w:rPr>
          <w:rFonts w:hint="default"/>
          <w:color w:val="000000" w:themeColor="text1"/>
          <w:spacing w:val="2"/>
          <w:sz w:val="28"/>
          <w:szCs w:val="28"/>
          <w:lang w:val="en-US"/>
          <w14:textFill>
            <w14:solidFill>
              <w14:schemeClr w14:val="tx1"/>
            </w14:solidFill>
          </w14:textFill>
        </w:rPr>
        <w:t xml:space="preserve"> là cơ sở pháp lý</w:t>
      </w:r>
      <w:r>
        <w:rPr>
          <w:color w:val="000000" w:themeColor="text1"/>
          <w:spacing w:val="2"/>
          <w:sz w:val="28"/>
          <w:szCs w:val="28"/>
          <w14:textFill>
            <w14:solidFill>
              <w14:schemeClr w14:val="tx1"/>
            </w14:solidFill>
          </w14:textFill>
        </w:rPr>
        <w:t>.</w:t>
      </w:r>
    </w:p>
    <w:p w14:paraId="362271B5">
      <w:pPr>
        <w:shd w:val="clear" w:color="auto" w:fill="FFFFFF"/>
        <w:spacing w:before="144" w:beforeLines="60" w:after="144" w:afterLines="60" w:line="340" w:lineRule="exact"/>
        <w:ind w:firstLine="720"/>
        <w:jc w:val="both"/>
        <w:rPr>
          <w:rStyle w:val="21"/>
          <w:b/>
          <w:color w:val="000000" w:themeColor="text1"/>
          <w14:textFill>
            <w14:solidFill>
              <w14:schemeClr w14:val="tx1"/>
            </w14:solidFill>
          </w14:textFill>
        </w:rPr>
      </w:pPr>
      <w:r>
        <w:rPr>
          <w:rStyle w:val="21"/>
          <w:b/>
          <w:color w:val="000000" w:themeColor="text1"/>
          <w14:textFill>
            <w14:solidFill>
              <w14:schemeClr w14:val="tx1"/>
            </w14:solidFill>
          </w14:textFill>
        </w:rPr>
        <w:t>2. Cơ sở thực tiễn</w:t>
      </w:r>
    </w:p>
    <w:p w14:paraId="0FD4856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iCs/>
        </w:rPr>
      </w:pPr>
      <w:r>
        <w:rPr>
          <w:rStyle w:val="21"/>
          <w:color w:val="000000" w:themeColor="text1"/>
          <w14:textFill>
            <w14:solidFill>
              <w14:schemeClr w14:val="tx1"/>
            </w14:solidFill>
          </w14:textFill>
        </w:rPr>
        <w:t>Thực hiện Kế hoạch số 09/KH-UBND ngày 12/01/2026 của Uỷ ban nhân dân thành phố Hải Phòng kế hoạch tổng thể xử lý quỹ nhà, đất là tài sản công không sử dụng vào mục đích để ở do Công ty TNHH MTV Quản lý và Kinh doanh nhà Hải Phòng (</w:t>
      </w:r>
      <w:r>
        <w:rPr>
          <w:rStyle w:val="21"/>
          <w:i/>
          <w:iCs/>
          <w:color w:val="000000" w:themeColor="text1"/>
          <w14:textFill>
            <w14:solidFill>
              <w14:schemeClr w14:val="tx1"/>
            </w14:solidFill>
          </w14:textFill>
        </w:rPr>
        <w:t>sau đây viết tắt là Công ty Nhà</w:t>
      </w:r>
      <w:r>
        <w:rPr>
          <w:rStyle w:val="21"/>
          <w:color w:val="000000" w:themeColor="text1"/>
          <w14:textFill>
            <w14:solidFill>
              <w14:schemeClr w14:val="tx1"/>
            </w14:solidFill>
          </w14:textFill>
        </w:rPr>
        <w:t>) quản lý theo quy định tại Nghị định số 108/2024/NĐ-CP, theo đó, tổng số cơ sở nhà, đất là tài sản công do Công ty Nhà quản lý tính đến tháng 12/2025: 273 cơ sở nhà, trong đó: tổng số cơ sở nhà thu hồi theo quy định tại Nghị định số 108/2024/NĐ-CP ngày 23/8/2024 của Chính phủ: 159 cơ sở; Các cơ sở nhà đất thực hiện thu hồi theo hình thức khởi kiện tại T</w:t>
      </w:r>
      <w:r>
        <w:rPr>
          <w:rStyle w:val="21"/>
          <w:rFonts w:hint="default"/>
          <w:color w:val="000000" w:themeColor="text1"/>
          <w:lang w:val="en-US"/>
          <w14:textFill>
            <w14:solidFill>
              <w14:schemeClr w14:val="tx1"/>
            </w14:solidFill>
          </w14:textFill>
        </w:rPr>
        <w:t>oà</w:t>
      </w:r>
      <w:r>
        <w:rPr>
          <w:rStyle w:val="21"/>
          <w:color w:val="000000" w:themeColor="text1"/>
          <w14:textFill>
            <w14:solidFill>
              <w14:schemeClr w14:val="tx1"/>
            </w14:solidFill>
          </w14:textFill>
        </w:rPr>
        <w:t xml:space="preserve"> án và chờ thi hành án: 59 cơ sở; Các điểm nhà đất đang thực hiện xử lý theo hình thức khác: 55 cơ sở (nhà trống đang trông coi, đang thực hiện xử lý, sắp xếp: 32 cơ sở; </w:t>
      </w:r>
      <w:r>
        <w:rPr>
          <w:rStyle w:val="21"/>
          <w:color w:val="000000" w:themeColor="text1"/>
          <w:u w:val="single"/>
          <w14:textFill>
            <w14:solidFill>
              <w14:schemeClr w14:val="tx1"/>
            </w14:solidFill>
          </w14:textFill>
        </w:rPr>
        <w:t>Các điểm nhà sắp xếp theo Thông báo số 20/TB-UBND của Uỷ ban nhân dân thành phố (chưa thực hiện xử lý, sắp xếp): 20 cơ sở; Các điểm Hội đặc thù thuê và được thuê tiếp (chưa thực hiện xử lý, sắp xếp): 03 cơ sở)</w:t>
      </w:r>
      <w:r>
        <w:rPr>
          <w:rStyle w:val="21"/>
          <w:color w:val="000000" w:themeColor="text1"/>
          <w14:textFill>
            <w14:solidFill>
              <w14:schemeClr w14:val="tx1"/>
            </w14:solidFill>
          </w14:textFill>
        </w:rPr>
        <w:t>.</w:t>
      </w:r>
    </w:p>
    <w:p w14:paraId="4B9A420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spacing w:val="-2"/>
        </w:rPr>
      </w:pPr>
      <w:r>
        <w:rPr>
          <w:spacing w:val="-2"/>
        </w:rPr>
        <w:t>Từ quy định nêu trên và thực tế tình hình sắp xếp các cơ sở nhà đất dôi dư trong quá trình sắp xếp đơn vị hành chính các cấp cũng như nhu cầu sử dụng trụ sở làm việc của tổ chức hội do Đảng và Nhà nước giao nhiệm vụ, các cơ sở thực hiện xã hội hóa, Hợp tác xã, Liên hiệp hợp tác xã. Sở Tài chính trình Ủy ban nhân dân thành phố ban hành Quyết định quy định chính sách ưu đãi (miễn, giảm) tiền thuê nhà cho các đối tượng ưu tiên trên địa bàn thành phố Hải Phòng thuê bằng hình thức văn bản quy phạm pháp luật là cần thiết và phù hợp với quy định pháp luật.</w:t>
      </w:r>
    </w:p>
    <w:p w14:paraId="5BD9EB99">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lang w:val="es-ES"/>
        </w:rPr>
      </w:pPr>
      <w:r>
        <w:rPr>
          <w:b/>
          <w:bCs/>
          <w:color w:val="000000" w:themeColor="text1"/>
          <w14:textFill>
            <w14:solidFill>
              <w14:schemeClr w14:val="tx1"/>
            </w14:solidFill>
          </w14:textFill>
        </w:rPr>
        <w:t xml:space="preserve">II. </w:t>
      </w:r>
      <w:r>
        <w:rPr>
          <w:b/>
          <w:lang w:val="es-ES"/>
        </w:rPr>
        <w:t>MỤC ĐÍCH BAN HÀNH, QUAN ĐIỂM CHỈ ĐẠO VIỆC XÂY DỰNG DỰ THẢO QUYẾT ĐỊNH</w:t>
      </w:r>
    </w:p>
    <w:p w14:paraId="16466474">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lang w:val="nl-NL"/>
          <w14:textFill>
            <w14:solidFill>
              <w14:schemeClr w14:val="tx1"/>
            </w14:solidFill>
          </w14:textFill>
        </w:rPr>
        <w:t xml:space="preserve">1. Mục </w:t>
      </w:r>
      <w:r>
        <w:rPr>
          <w:b/>
          <w:bCs/>
          <w:color w:val="000000" w:themeColor="text1"/>
          <w:lang w:val="vi-VN"/>
          <w14:textFill>
            <w14:solidFill>
              <w14:schemeClr w14:val="tx1"/>
            </w14:solidFill>
          </w14:textFill>
        </w:rPr>
        <w:t>đích</w:t>
      </w:r>
      <w:bookmarkStart w:id="0" w:name="_Hlk165992288"/>
      <w:r>
        <w:rPr>
          <w:b/>
          <w:bCs/>
          <w:color w:val="000000" w:themeColor="text1"/>
          <w:lang w:val="nl-NL"/>
          <w14:textFill>
            <w14:solidFill>
              <w14:schemeClr w14:val="tx1"/>
            </w14:solidFill>
          </w14:textFill>
        </w:rPr>
        <w:t>:</w:t>
      </w:r>
      <w:r>
        <w:rPr>
          <w:color w:val="000000" w:themeColor="text1"/>
          <w:lang w:val="nl-NL"/>
          <w14:textFill>
            <w14:solidFill>
              <w14:schemeClr w14:val="tx1"/>
            </w14:solidFill>
          </w14:textFill>
        </w:rPr>
        <w:t xml:space="preserve"> </w:t>
      </w:r>
      <w:r>
        <w:rPr>
          <w:color w:val="000000" w:themeColor="text1"/>
          <w14:textFill>
            <w14:solidFill>
              <w14:schemeClr w14:val="tx1"/>
            </w14:solidFill>
          </w14:textFill>
        </w:rPr>
        <w:t xml:space="preserve">Quy định cụ thể nội dung được giao tại </w:t>
      </w:r>
      <w:r>
        <w:rPr>
          <w:rStyle w:val="21"/>
          <w:color w:val="000000" w:themeColor="text1"/>
          <w14:textFill>
            <w14:solidFill>
              <w14:schemeClr w14:val="tx1"/>
            </w14:solidFill>
          </w14:textFill>
        </w:rPr>
        <w:t>Nghị định số 108/2024/NĐ-CP</w:t>
      </w:r>
      <w:r>
        <w:rPr>
          <w:color w:val="000000" w:themeColor="text1"/>
          <w14:textFill>
            <w14:solidFill>
              <w14:schemeClr w14:val="tx1"/>
            </w14:solidFill>
          </w14:textFill>
        </w:rPr>
        <w:t xml:space="preserve"> (được sửa đổi, bổ sung Nghị định số 286/2025/NĐ-CP ngày 03/11/2025 của Chính phủ) để kịp thời tổ chức thực hiện theo đúng quy định</w:t>
      </w:r>
      <w:r>
        <w:rPr>
          <w:color w:val="000000" w:themeColor="text1"/>
          <w:lang w:val="vi-VN"/>
          <w14:textFill>
            <w14:solidFill>
              <w14:schemeClr w14:val="tx1"/>
            </w14:solidFill>
          </w14:textFill>
        </w:rPr>
        <w:t>.</w:t>
      </w:r>
      <w:bookmarkEnd w:id="0"/>
    </w:p>
    <w:p w14:paraId="7FA21F92">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lang w:val="nl-NL"/>
          <w14:textFill>
            <w14:solidFill>
              <w14:schemeClr w14:val="tx1"/>
            </w14:solidFill>
          </w14:textFill>
        </w:rPr>
        <w:t xml:space="preserve">2. Quan điểm </w:t>
      </w:r>
      <w:r>
        <w:rPr>
          <w:b/>
          <w:bCs/>
          <w:color w:val="000000" w:themeColor="text1"/>
          <w:lang w:val="vi-VN"/>
          <w14:textFill>
            <w14:solidFill>
              <w14:schemeClr w14:val="tx1"/>
            </w14:solidFill>
          </w14:textFill>
        </w:rPr>
        <w:t>xây dựng</w:t>
      </w:r>
      <w:r>
        <w:rPr>
          <w:b/>
          <w:bCs/>
          <w:color w:val="000000" w:themeColor="text1"/>
          <w14:textFill>
            <w14:solidFill>
              <w14:schemeClr w14:val="tx1"/>
            </w14:solidFill>
          </w14:textFill>
        </w:rPr>
        <w:t xml:space="preserve"> dự thảo</w:t>
      </w:r>
      <w:r>
        <w:rPr>
          <w:b/>
          <w:bCs/>
          <w:color w:val="000000" w:themeColor="text1"/>
          <w:lang w:val="vi-VN"/>
          <w14:textFill>
            <w14:solidFill>
              <w14:schemeClr w14:val="tx1"/>
            </w14:solidFill>
          </w14:textFill>
        </w:rPr>
        <w:t xml:space="preserve"> </w:t>
      </w:r>
      <w:r>
        <w:rPr>
          <w:b/>
          <w:bCs/>
          <w:color w:val="000000" w:themeColor="text1"/>
          <w14:textFill>
            <w14:solidFill>
              <w14:schemeClr w14:val="tx1"/>
            </w14:solidFill>
          </w14:textFill>
        </w:rPr>
        <w:t>văn bản:</w:t>
      </w:r>
      <w:r>
        <w:rPr>
          <w:color w:val="000000" w:themeColor="text1"/>
          <w14:textFill>
            <w14:solidFill>
              <w14:schemeClr w14:val="tx1"/>
            </w14:solidFill>
          </w14:textFill>
        </w:rPr>
        <w:t xml:space="preserve"> Quyết định quy định </w:t>
      </w:r>
      <w:r>
        <w:rPr>
          <w:color w:val="000000" w:themeColor="text1"/>
          <w:spacing w:val="2"/>
          <w14:textFill>
            <w14:solidFill>
              <w14:schemeClr w14:val="tx1"/>
            </w14:solidFill>
          </w14:textFill>
        </w:rPr>
        <w:t>chính sách ưu đãi (miễn, giảm) tiền thuê nhà cho các đối tượng ưu tiên trên địa bàn thành phố Hải Phòng</w:t>
      </w:r>
      <w:r>
        <w:rPr>
          <w:color w:val="000000" w:themeColor="text1"/>
          <w14:textFill>
            <w14:solidFill>
              <w14:schemeClr w14:val="tx1"/>
            </w14:solidFill>
          </w14:textFill>
        </w:rPr>
        <w:t xml:space="preserve"> phải phù hợp với các quy định của pháp luật, tình hình thực tiễn của địa phương, vừa tạo điều kiện về trụ sở làm việc, cơ sở hoạt động cho các đối tượng ưu tiên vừa góp phần giải quyết một số </w:t>
      </w:r>
      <w:r>
        <w:rPr>
          <w:rStyle w:val="21"/>
          <w:color w:val="000000" w:themeColor="text1"/>
          <w14:textFill>
            <w14:solidFill>
              <w14:schemeClr w14:val="tx1"/>
            </w14:solidFill>
          </w14:textFill>
        </w:rPr>
        <w:t>cơ sở nhà, đất công dôi dư được tiếp tục đưa vào sử dụng hiệu quả, tránh xuống cấp, hư hỏng, lãng phí</w:t>
      </w:r>
      <w:r>
        <w:rPr>
          <w:color w:val="000000" w:themeColor="text1"/>
          <w14:textFill>
            <w14:solidFill>
              <w14:schemeClr w14:val="tx1"/>
            </w14:solidFill>
          </w14:textFill>
        </w:rPr>
        <w:t>.</w:t>
      </w:r>
    </w:p>
    <w:p w14:paraId="4F9E521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14:textFill>
            <w14:solidFill>
              <w14:schemeClr w14:val="tx1"/>
            </w14:solidFill>
          </w14:textFill>
        </w:rPr>
      </w:pPr>
      <w:r>
        <w:rPr>
          <w:b/>
          <w:color w:val="000000" w:themeColor="text1"/>
          <w14:textFill>
            <w14:solidFill>
              <w14:schemeClr w14:val="tx1"/>
            </w14:solidFill>
          </w14:textFill>
        </w:rPr>
        <w:t>III. QUÁ TRÌNH XÂY DỰNG DỰ THẢO QUYẾT ĐỊNH</w:t>
      </w:r>
    </w:p>
    <w:p w14:paraId="79AAA641">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jc w:val="both"/>
        <w:rPr>
          <w:b/>
          <w:bCs/>
          <w:color w:val="000000" w:themeColor="text1"/>
          <w14:textFill>
            <w14:solidFill>
              <w14:schemeClr w14:val="tx1"/>
            </w14:solidFill>
          </w14:textFill>
        </w:rPr>
      </w:pPr>
      <w:r>
        <w:rPr>
          <w:color w:val="000000" w:themeColor="text1"/>
          <w14:textFill>
            <w14:solidFill>
              <w14:schemeClr w14:val="tx1"/>
            </w14:solidFill>
          </w14:textFill>
        </w:rPr>
        <w:tab/>
      </w:r>
      <w:r>
        <w:rPr>
          <w:b/>
          <w:bCs/>
          <w:color w:val="000000" w:themeColor="text1"/>
          <w14:textFill>
            <w14:solidFill>
              <w14:schemeClr w14:val="tx1"/>
            </w14:solidFill>
          </w14:textFill>
        </w:rPr>
        <w:t xml:space="preserve">1. Về tổ chức soạn thảo và lấy ý kiến các đơn vị liên quan </w:t>
      </w:r>
    </w:p>
    <w:p w14:paraId="06E79389">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rFonts w:hint="default"/>
          <w:color w:val="000000" w:themeColor="text1"/>
          <w:spacing w:val="-6"/>
          <w:lang w:val="en-US"/>
          <w14:textFill>
            <w14:solidFill>
              <w14:schemeClr w14:val="tx1"/>
            </w14:solidFill>
          </w14:textFill>
        </w:rPr>
        <w:t>Căn cứ Quyết định số 918/QĐ-UBND n</w:t>
      </w:r>
      <w:r>
        <w:rPr>
          <w:color w:val="000000" w:themeColor="text1"/>
          <w:spacing w:val="-6"/>
          <w:lang w:val="it-IT"/>
          <w14:textFill>
            <w14:solidFill>
              <w14:schemeClr w14:val="tx1"/>
            </w14:solidFill>
          </w14:textFill>
        </w:rPr>
        <w:t xml:space="preserve">gày </w:t>
      </w:r>
      <w:r>
        <w:rPr>
          <w:rFonts w:hint="default"/>
          <w:color w:val="000000" w:themeColor="text1"/>
          <w:spacing w:val="-6"/>
          <w:lang w:val="en-US"/>
          <w14:textFill>
            <w14:solidFill>
              <w14:schemeClr w14:val="tx1"/>
            </w14:solidFill>
          </w14:textFill>
        </w:rPr>
        <w:t>13/3</w:t>
      </w:r>
      <w:r>
        <w:rPr>
          <w:color w:val="000000" w:themeColor="text1"/>
          <w:spacing w:val="-6"/>
          <w:lang w:val="it-IT"/>
          <w14:textFill>
            <w14:solidFill>
              <w14:schemeClr w14:val="tx1"/>
            </w14:solidFill>
          </w14:textFill>
        </w:rPr>
        <w:t xml:space="preserve">/2026 của </w:t>
      </w:r>
      <w:r>
        <w:rPr>
          <w:rFonts w:hint="default"/>
          <w:color w:val="000000" w:themeColor="text1"/>
          <w:spacing w:val="-6"/>
          <w:lang w:val="en-US"/>
          <w14:textFill>
            <w14:solidFill>
              <w14:schemeClr w14:val="tx1"/>
            </w14:solidFill>
          </w14:textFill>
        </w:rPr>
        <w:t>Uỷ ban nhân dân thành phố về phê duyệt đăng ký xây dựng văn bản quy phạm pháp luật quy định</w:t>
      </w:r>
      <w:r>
        <w:rPr>
          <w:color w:val="000000" w:themeColor="text1"/>
          <w:spacing w:val="-6"/>
          <w:lang w:val="it-IT"/>
          <w14:textFill>
            <w14:solidFill>
              <w14:schemeClr w14:val="tx1"/>
            </w14:solidFill>
          </w14:textFill>
        </w:rPr>
        <w:t xml:space="preserve"> chính sách ưu đãi tiền thuê nhà cho các đối tượng ưu tiên tại Nghị định số 108/2024/NĐ-CP (được sửa đổi, bổ sung tại Nghị định số 286/2025/NĐ-CP ngày 03/11/2025 của Chính phủ)</w:t>
      </w:r>
      <w:r>
        <w:rPr>
          <w:rStyle w:val="21"/>
          <w:color w:val="000000" w:themeColor="text1"/>
          <w14:textFill>
            <w14:solidFill>
              <w14:schemeClr w14:val="tx1"/>
            </w14:solidFill>
          </w14:textFill>
        </w:rPr>
        <w:t>,</w:t>
      </w:r>
      <w:r>
        <w:rPr>
          <w:color w:val="000000" w:themeColor="text1"/>
          <w14:textFill>
            <w14:solidFill>
              <w14:schemeClr w14:val="tx1"/>
            </w14:solidFill>
          </w14:textFill>
        </w:rPr>
        <w:t xml:space="preserve"> Sở Tài chính đã </w:t>
      </w:r>
      <w:r>
        <w:rPr>
          <w:rFonts w:hint="default"/>
          <w:color w:val="000000" w:themeColor="text1"/>
          <w:lang w:val="en-US"/>
          <w14:textFill>
            <w14:solidFill>
              <w14:schemeClr w14:val="tx1"/>
            </w14:solidFill>
          </w14:textFill>
        </w:rPr>
        <w:t>soạn thảo dự thảo Tờ trình, Quyết định</w:t>
      </w:r>
      <w:r>
        <w:rPr>
          <w:color w:val="000000" w:themeColor="text1"/>
          <w14:textFill>
            <w14:solidFill>
              <w14:schemeClr w14:val="tx1"/>
            </w14:solidFill>
          </w14:textFill>
        </w:rPr>
        <w:t xml:space="preserve"> quy định </w:t>
      </w:r>
      <w:r>
        <w:rPr>
          <w:color w:val="000000" w:themeColor="text1"/>
          <w:spacing w:val="2"/>
          <w14:textFill>
            <w14:solidFill>
              <w14:schemeClr w14:val="tx1"/>
            </w14:solidFill>
          </w14:textFill>
        </w:rPr>
        <w:t>chính sách ưu đãi (miễn, giảm) tiền thuê nhà cho các đối tượng ưu tiên trên địa bàn thành phố Hải Phòng</w:t>
      </w:r>
      <w:r>
        <w:rPr>
          <w:color w:val="000000" w:themeColor="text1"/>
          <w14:textFill>
            <w14:solidFill>
              <w14:schemeClr w14:val="tx1"/>
            </w14:solidFill>
          </w14:textFill>
        </w:rPr>
        <w:t>.</w:t>
      </w:r>
    </w:p>
    <w:p w14:paraId="34596B8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2"/>
          <w14:textFill>
            <w14:solidFill>
              <w14:schemeClr w14:val="tx1"/>
            </w14:solidFill>
          </w14:textFill>
        </w:rPr>
      </w:pPr>
      <w:r>
        <w:rPr>
          <w:color w:val="000000" w:themeColor="text1"/>
          <w14:textFill>
            <w14:solidFill>
              <w14:schemeClr w14:val="tx1"/>
            </w14:solidFill>
          </w14:textFill>
        </w:rPr>
        <w:t xml:space="preserve">Sở Tài chính có </w:t>
      </w:r>
      <w:r>
        <w:rPr>
          <w:color w:val="000000" w:themeColor="text1"/>
          <w:highlight w:val="yellow"/>
          <w14:textFill>
            <w14:solidFill>
              <w14:schemeClr w14:val="tx1"/>
            </w14:solidFill>
          </w14:textFill>
        </w:rPr>
        <w:t xml:space="preserve">Văn bản số     /STC-QLCS ngày </w:t>
      </w:r>
      <w:r>
        <w:rPr>
          <w:rFonts w:hint="default"/>
          <w:color w:val="000000" w:themeColor="text1"/>
          <w:highlight w:val="yellow"/>
          <w:lang w:val="en-US"/>
          <w14:textFill>
            <w14:solidFill>
              <w14:schemeClr w14:val="tx1"/>
            </w14:solidFill>
          </w14:textFill>
        </w:rPr>
        <w:t>17</w:t>
      </w:r>
      <w:r>
        <w:rPr>
          <w:color w:val="000000" w:themeColor="text1"/>
          <w:highlight w:val="yellow"/>
          <w14:textFill>
            <w14:solidFill>
              <w14:schemeClr w14:val="tx1"/>
            </w14:solidFill>
          </w14:textFill>
        </w:rPr>
        <w:t>/3/2026</w:t>
      </w:r>
      <w:r>
        <w:rPr>
          <w:color w:val="000000" w:themeColor="text1"/>
          <w14:textFill>
            <w14:solidFill>
              <w14:schemeClr w14:val="tx1"/>
            </w14:solidFill>
          </w14:textFill>
        </w:rPr>
        <w:t xml:space="preserve"> về việc đăng tải và lấy ý kiến vào dự thảo Quyết định của Uỷ ban nhân dân thành phố gửi Ban biên tập Cổng thông tin điện tử thành phố đăng tải thông tin dự thảo Quyết định quy định chính sách miễn, giảm </w:t>
      </w:r>
      <w:r>
        <w:rPr>
          <w:color w:val="000000" w:themeColor="text1"/>
          <w:spacing w:val="2"/>
          <w14:textFill>
            <w14:solidFill>
              <w14:schemeClr w14:val="tx1"/>
            </w14:solidFill>
          </w14:textFill>
        </w:rPr>
        <w:t>tiền thuê nhà cho các đối tượng ưu tiên trên địa bàn thành phố Hải Phòng để các cơ quan, tổ chức, cá nhân góp ý kiến.</w:t>
      </w:r>
    </w:p>
    <w:p w14:paraId="683E14CF">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2"/>
          <w14:textFill>
            <w14:solidFill>
              <w14:schemeClr w14:val="tx1"/>
            </w14:solidFill>
          </w14:textFill>
        </w:rPr>
      </w:pPr>
      <w:r>
        <w:rPr>
          <w:color w:val="000000" w:themeColor="text1"/>
          <w:spacing w:val="2"/>
          <w14:textFill>
            <w14:solidFill>
              <w14:schemeClr w14:val="tx1"/>
            </w14:solidFill>
          </w14:textFill>
        </w:rPr>
        <w:t xml:space="preserve">Đồng thời, có các các </w:t>
      </w:r>
      <w:r>
        <w:rPr>
          <w:color w:val="000000" w:themeColor="text1"/>
          <w:spacing w:val="2"/>
          <w:highlight w:val="yellow"/>
          <w14:textFill>
            <w14:solidFill>
              <w14:schemeClr w14:val="tx1"/>
            </w14:solidFill>
          </w14:textFill>
        </w:rPr>
        <w:t>Văn bản số     /STC-</w:t>
      </w:r>
      <w:r>
        <w:rPr>
          <w:rFonts w:hint="default"/>
          <w:color w:val="000000" w:themeColor="text1"/>
          <w:spacing w:val="2"/>
          <w:highlight w:val="yellow"/>
          <w:lang w:val="en-US"/>
          <w14:textFill>
            <w14:solidFill>
              <w14:schemeClr w14:val="tx1"/>
            </w14:solidFill>
          </w14:textFill>
        </w:rPr>
        <w:t>QL</w:t>
      </w:r>
      <w:r>
        <w:rPr>
          <w:color w:val="000000" w:themeColor="text1"/>
          <w:spacing w:val="2"/>
          <w:highlight w:val="yellow"/>
          <w14:textFill>
            <w14:solidFill>
              <w14:schemeClr w14:val="tx1"/>
            </w14:solidFill>
          </w14:textFill>
        </w:rPr>
        <w:t>CS ngày</w:t>
      </w:r>
      <w:r>
        <w:rPr>
          <w:rFonts w:hint="default"/>
          <w:color w:val="000000" w:themeColor="text1"/>
          <w:spacing w:val="2"/>
          <w:highlight w:val="yellow"/>
          <w:lang w:val="en-US"/>
          <w14:textFill>
            <w14:solidFill>
              <w14:schemeClr w14:val="tx1"/>
            </w14:solidFill>
          </w14:textFill>
        </w:rPr>
        <w:t xml:space="preserve"> 17/</w:t>
      </w:r>
      <w:r>
        <w:rPr>
          <w:color w:val="000000" w:themeColor="text1"/>
          <w:spacing w:val="2"/>
          <w:highlight w:val="yellow"/>
          <w14:textFill>
            <w14:solidFill>
              <w14:schemeClr w14:val="tx1"/>
            </w14:solidFill>
          </w14:textFill>
        </w:rPr>
        <w:t>3/2026 gửi</w:t>
      </w:r>
      <w:r>
        <w:rPr>
          <w:color w:val="000000" w:themeColor="text1"/>
          <w:spacing w:val="2"/>
          <w14:textFill>
            <w14:solidFill>
              <w14:schemeClr w14:val="tx1"/>
            </w14:solidFill>
          </w14:textFill>
        </w:rPr>
        <w:t xml:space="preserve"> các</w:t>
      </w:r>
      <w:r>
        <w:rPr>
          <w:rFonts w:hint="default"/>
          <w:color w:val="000000" w:themeColor="text1"/>
          <w:spacing w:val="2"/>
          <w:lang w:val="en-US"/>
          <w14:textFill>
            <w14:solidFill>
              <w14:schemeClr w14:val="tx1"/>
            </w14:solidFill>
          </w14:textFill>
        </w:rPr>
        <w:t xml:space="preserve"> sở, ban, ngành</w:t>
      </w:r>
      <w:r>
        <w:rPr>
          <w:color w:val="000000" w:themeColor="text1"/>
          <w:spacing w:val="2"/>
          <w14:textFill>
            <w14:solidFill>
              <w14:schemeClr w14:val="tx1"/>
            </w14:solidFill>
          </w14:textFill>
        </w:rPr>
        <w:t>, tổ chức, đơn vị, địa phương, đề nghị Sở Nội vụ cho ý kiến về việc phân cấp, thực hiện nhiệm vụ, quyền hạn được phân cấp và nguồn nhân lực; Sở Tư pháp cho ý kiến về tính hợp hiến, tính hợp pháp và tính thống nhất với hệ thống pháp luật; Sở Khoa học và Công nghệ cho ý kiến về việc ứng dụng, thúc đẩy phát triển khoa học, công nghệ, đổi mới sáng tạo và chuyển đổi số. Các sở ngành, đơn vị, tổ chức, cá nhân, đơn vị căn cứ chức năng nhiệm vụ cho ý kiến dự thảo Quyết định của Uỷ ban nhân dân thành phố.</w:t>
      </w:r>
    </w:p>
    <w:p w14:paraId="5F9649D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spacing w:val="2"/>
          <w14:textFill>
            <w14:solidFill>
              <w14:schemeClr w14:val="tx1"/>
            </w14:solidFill>
          </w14:textFill>
        </w:rPr>
        <w:t>Sở Tài chính đã t</w:t>
      </w:r>
      <w:r>
        <w:rPr>
          <w:color w:val="000000" w:themeColor="text1"/>
          <w14:textFill>
            <w14:solidFill>
              <w14:schemeClr w14:val="tx1"/>
            </w14:solidFill>
          </w14:textFill>
        </w:rPr>
        <w:t>iếp thu ý kiến các cơ quan có liên quan chỉnh lý, hoàn thiện dự thảo Quyết định.</w:t>
      </w:r>
    </w:p>
    <w:p w14:paraId="3977E6B8">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bCs/>
          <w:color w:val="000000" w:themeColor="text1"/>
          <w14:textFill>
            <w14:solidFill>
              <w14:schemeClr w14:val="tx1"/>
            </w14:solidFill>
          </w14:textFill>
        </w:rPr>
        <w:t>2. Về việc thẩm định dự thảo Quyết định</w:t>
      </w:r>
    </w:p>
    <w:p w14:paraId="09C1BFE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2"/>
          <w14:textFill>
            <w14:solidFill>
              <w14:schemeClr w14:val="tx1"/>
            </w14:solidFill>
          </w14:textFill>
        </w:rPr>
      </w:pPr>
      <w:r>
        <w:rPr>
          <w:color w:val="000000" w:themeColor="text1"/>
          <w14:textFill>
            <w14:solidFill>
              <w14:schemeClr w14:val="tx1"/>
            </w14:solidFill>
          </w14:textFill>
        </w:rPr>
        <w:t xml:space="preserve">Sở Tư pháp đã </w:t>
      </w:r>
      <w:r>
        <w:rPr>
          <w:color w:val="000000" w:themeColor="text1"/>
          <w:highlight w:val="yellow"/>
          <w14:textFill>
            <w14:solidFill>
              <w14:schemeClr w14:val="tx1"/>
            </w14:solidFill>
          </w14:textFill>
        </w:rPr>
        <w:t>thẩm định và có Báo cáo số     /BC-STP ngày     /</w:t>
      </w:r>
      <w:r>
        <w:rPr>
          <w:rFonts w:hint="default"/>
          <w:color w:val="000000" w:themeColor="text1"/>
          <w:highlight w:val="yellow"/>
          <w:lang w:val="en-US"/>
          <w14:textFill>
            <w14:solidFill>
              <w14:schemeClr w14:val="tx1"/>
            </w14:solidFill>
          </w14:textFill>
        </w:rPr>
        <w:t xml:space="preserve">  </w:t>
      </w:r>
      <w:r>
        <w:rPr>
          <w:color w:val="000000" w:themeColor="text1"/>
          <w:highlight w:val="yellow"/>
          <w14:textFill>
            <w14:solidFill>
              <w14:schemeClr w14:val="tx1"/>
            </w14:solidFill>
          </w14:textFill>
        </w:rPr>
        <w:t>/2026</w:t>
      </w:r>
      <w:r>
        <w:rPr>
          <w:color w:val="000000" w:themeColor="text1"/>
          <w14:textFill>
            <w14:solidFill>
              <w14:schemeClr w14:val="tx1"/>
            </w14:solidFill>
          </w14:textFill>
        </w:rPr>
        <w:t xml:space="preserve"> về việc thẩm định dự thảo Quyết định quy định chính sách miễn, giảm </w:t>
      </w:r>
      <w:r>
        <w:rPr>
          <w:color w:val="000000" w:themeColor="text1"/>
          <w:spacing w:val="2"/>
          <w14:textFill>
            <w14:solidFill>
              <w14:schemeClr w14:val="tx1"/>
            </w14:solidFill>
          </w14:textFill>
        </w:rPr>
        <w:t>tiền thuê nhà cho các đối tượng ưu tiên trên địa bàn thành phố Hải Phòng; Sở Tài chính đã thực hiện tiếp thu, chỉnh sửa theo các ý kiến thẩm định của Sở Tư pháp.</w:t>
      </w:r>
    </w:p>
    <w:p w14:paraId="7B3CB75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Trong quá trình xây dựng dự thảo Quyết định, cơ quan chủ trì soạn thảo là Sở Tài chính đã tiến hành xây dựng dự thảo Quyết định theo đúng trình tự và quy định thực hiện xây dựng văn bản quy phạm pháp luật.</w:t>
      </w:r>
    </w:p>
    <w:p w14:paraId="444AA5F4">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IV. </w:t>
      </w:r>
      <w:r>
        <w:rPr>
          <w:b/>
          <w:color w:val="000000" w:themeColor="text1"/>
          <w:sz w:val="26"/>
          <w:szCs w:val="26"/>
          <w14:textFill>
            <w14:solidFill>
              <w14:schemeClr w14:val="tx1"/>
            </w14:solidFill>
          </w14:textFill>
        </w:rPr>
        <w:t>BỐ CỤC VÀ NỘI DUNG CƠ BẢN CỦA DỰ THẢO QUYẾT ĐỊNH</w:t>
      </w:r>
      <w:r>
        <w:rPr>
          <w:b/>
          <w:color w:val="000000" w:themeColor="text1"/>
          <w14:textFill>
            <w14:solidFill>
              <w14:schemeClr w14:val="tx1"/>
            </w14:solidFill>
          </w14:textFill>
        </w:rPr>
        <w:t>:</w:t>
      </w:r>
    </w:p>
    <w:p w14:paraId="2CF87ED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lang w:val="nl-NL"/>
          <w14:textFill>
            <w14:solidFill>
              <w14:schemeClr w14:val="tx1"/>
            </w14:solidFill>
          </w14:textFill>
        </w:rPr>
      </w:pPr>
      <w:r>
        <w:rPr>
          <w:b/>
          <w:color w:val="000000" w:themeColor="text1"/>
          <w:lang w:val="nl-NL"/>
          <w14:textFill>
            <w14:solidFill>
              <w14:schemeClr w14:val="tx1"/>
            </w14:solidFill>
          </w14:textFill>
        </w:rPr>
        <w:t>1. Phạm vi điều chỉnh, đối tượng áp dụng</w:t>
      </w:r>
    </w:p>
    <w:p w14:paraId="154DF5B9">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lang w:val="nl-NL"/>
          <w14:textFill>
            <w14:solidFill>
              <w14:schemeClr w14:val="tx1"/>
            </w14:solidFill>
          </w14:textFill>
        </w:rPr>
      </w:pPr>
      <w:r>
        <w:rPr>
          <w:b/>
          <w:color w:val="000000" w:themeColor="text1"/>
          <w:lang w:val="nl-NL"/>
          <w14:textFill>
            <w14:solidFill>
              <w14:schemeClr w14:val="tx1"/>
            </w14:solidFill>
          </w14:textFill>
        </w:rPr>
        <w:t>1.1. Phạm vi điều chỉnh</w:t>
      </w:r>
    </w:p>
    <w:p w14:paraId="6AD876A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4"/>
          <w14:textFill>
            <w14:solidFill>
              <w14:schemeClr w14:val="tx1"/>
            </w14:solidFill>
          </w14:textFill>
        </w:rPr>
      </w:pPr>
      <w:r>
        <w:rPr>
          <w:color w:val="000000" w:themeColor="text1"/>
          <w:spacing w:val="-4"/>
          <w14:textFill>
            <w14:solidFill>
              <w14:schemeClr w14:val="tx1"/>
            </w14:solidFill>
          </w14:textFill>
        </w:rPr>
        <w:t xml:space="preserve">Quy định chính sách ưu đãi (miễn, giảm) tiền thuê nhà cho các đối tượng ưu tiên quy định tại điểm a khoản 2 Điều 10 Nghị định số </w:t>
      </w:r>
      <w:r>
        <w:rPr>
          <w:rStyle w:val="21"/>
          <w:color w:val="000000" w:themeColor="text1"/>
          <w:spacing w:val="-4"/>
          <w14:textFill>
            <w14:solidFill>
              <w14:schemeClr w14:val="tx1"/>
            </w14:solidFill>
          </w14:textFill>
        </w:rPr>
        <w:t>108/2024/NĐ-CP ngày 23/8/2024 của Chính phủ (được sửa đổi, bổ sung tại khoản 5 Điều 1 Nghị định số 286/2025/NĐ-CP ngày 03/11/2025 của Chính phủ) khi thuê nhà (gắn với quyền sử dụng đất) của tổ chức quản lý, kinh doanh nhà được UBND</w:t>
      </w:r>
      <w:r>
        <w:rPr>
          <w:color w:val="000000" w:themeColor="text1"/>
          <w:spacing w:val="-4"/>
          <w:shd w:val="clear" w:color="auto" w:fill="FFFFFF"/>
          <w14:textFill>
            <w14:solidFill>
              <w14:schemeClr w14:val="tx1"/>
            </w14:solidFill>
          </w14:textFill>
        </w:rPr>
        <w:t xml:space="preserve"> thành phố Hải Phòng giao nhiệm vụ (sau đây gọi là thuê nhà), theo quy định tại khoản 2 Điều 16 </w:t>
      </w:r>
      <w:r>
        <w:rPr>
          <w:color w:val="000000" w:themeColor="text1"/>
          <w:spacing w:val="-4"/>
          <w14:textFill>
            <w14:solidFill>
              <w14:schemeClr w14:val="tx1"/>
            </w14:solidFill>
          </w14:textFill>
        </w:rPr>
        <w:t xml:space="preserve">Nghị định số </w:t>
      </w:r>
      <w:r>
        <w:rPr>
          <w:rStyle w:val="21"/>
          <w:color w:val="000000" w:themeColor="text1"/>
          <w:spacing w:val="-4"/>
          <w14:textFill>
            <w14:solidFill>
              <w14:schemeClr w14:val="tx1"/>
            </w14:solidFill>
          </w14:textFill>
        </w:rPr>
        <w:t>108/2024/NĐ-CP ngày 23/8/2024 của Chính phủ (được sửa đổi, bổ sung tại khoản 8 Điều 1 Nghị định số 286/2025/NĐ-CP ngày 03/11/2025 của Chính phủ)</w:t>
      </w:r>
      <w:r>
        <w:rPr>
          <w:color w:val="000000" w:themeColor="text1"/>
          <w:spacing w:val="-4"/>
          <w14:textFill>
            <w14:solidFill>
              <w14:schemeClr w14:val="tx1"/>
            </w14:solidFill>
          </w14:textFill>
        </w:rPr>
        <w:t>.</w:t>
      </w:r>
    </w:p>
    <w:p w14:paraId="0D4D94BB">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lang w:val="nl-NL"/>
          <w14:textFill>
            <w14:solidFill>
              <w14:schemeClr w14:val="tx1"/>
            </w14:solidFill>
          </w14:textFill>
        </w:rPr>
      </w:pPr>
      <w:r>
        <w:rPr>
          <w:b/>
          <w:color w:val="000000" w:themeColor="text1"/>
          <w:lang w:val="nl-NL"/>
          <w14:textFill>
            <w14:solidFill>
              <w14:schemeClr w14:val="tx1"/>
            </w14:solidFill>
          </w14:textFill>
        </w:rPr>
        <w:t>1.2. Đối tượng áp dụng</w:t>
      </w:r>
    </w:p>
    <w:p w14:paraId="744F814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rStyle w:val="21"/>
          <w:color w:val="000000" w:themeColor="text1"/>
          <w14:textFill>
            <w14:solidFill>
              <w14:schemeClr w14:val="tx1"/>
            </w14:solidFill>
          </w14:textFill>
        </w:rPr>
      </w:pPr>
      <w:r>
        <w:rPr>
          <w:color w:val="000000" w:themeColor="text1"/>
          <w14:textFill>
            <w14:solidFill>
              <w14:schemeClr w14:val="tx1"/>
            </w14:solidFill>
          </w14:textFill>
        </w:rPr>
        <w:t xml:space="preserve">a) </w:t>
      </w:r>
      <w:r>
        <w:rPr>
          <w:color w:val="000000" w:themeColor="text1"/>
          <w:spacing w:val="2"/>
          <w14:textFill>
            <w14:solidFill>
              <w14:schemeClr w14:val="tx1"/>
            </w14:solidFill>
          </w14:textFill>
        </w:rPr>
        <w:t xml:space="preserve">Các đối tượng ưu tiên quy định tại điểm a khoản 2 Điều 10 Nghị định số </w:t>
      </w:r>
      <w:r>
        <w:rPr>
          <w:rStyle w:val="21"/>
          <w:color w:val="000000" w:themeColor="text1"/>
          <w14:textFill>
            <w14:solidFill>
              <w14:schemeClr w14:val="tx1"/>
            </w14:solidFill>
          </w14:textFill>
        </w:rPr>
        <w:t>108/2024/NĐ-CP ngày 23/8/2024 của Chính phủ, bao gồm:</w:t>
      </w:r>
    </w:p>
    <w:p w14:paraId="29207018">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hd w:val="clear" w:color="auto" w:fill="FFFFFF"/>
          <w14:textFill>
            <w14:solidFill>
              <w14:schemeClr w14:val="tx1"/>
            </w14:solidFill>
          </w14:textFill>
        </w:rPr>
      </w:pPr>
      <w:r>
        <w:rPr>
          <w:rStyle w:val="21"/>
          <w:color w:val="000000" w:themeColor="text1"/>
          <w14:textFill>
            <w14:solidFill>
              <w14:schemeClr w14:val="tx1"/>
            </w14:solidFill>
          </w14:textFill>
        </w:rPr>
        <w:t xml:space="preserve">- Hội </w:t>
      </w:r>
      <w:r>
        <w:rPr>
          <w:color w:val="000000" w:themeColor="text1"/>
          <w:shd w:val="clear" w:color="auto" w:fill="FFFFFF"/>
          <w14:textFill>
            <w14:solidFill>
              <w14:schemeClr w14:val="tx1"/>
            </w14:solidFill>
          </w14:textFill>
        </w:rPr>
        <w:t>do Đảng, Nhà nước giao nhiệm vụ thuộc phạm vi quản lý của thành phố Hải Phòng thuê để làm trụ sở làm việc trong trường hợp chưa có trụ sở làm việc.</w:t>
      </w:r>
    </w:p>
    <w:p w14:paraId="5C790BC7">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2AC5C0F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pPr>
      <w:r>
        <w:rPr>
          <w:lang w:val="en-GB"/>
        </w:rPr>
        <w:t xml:space="preserve">- </w:t>
      </w:r>
      <w:r>
        <w:t>Hợp tác xã, liên hiệp hợp tác xã, tổ hợp tác đáp ứng các tiêu chí để được thụ hưởng chính sách hỗ trợ của Nhà nước theo quy định tại </w:t>
      </w:r>
      <w:r>
        <w:fldChar w:fldCharType="begin"/>
      </w:r>
      <w:r>
        <w:instrText xml:space="preserve"> HYPERLINK "https://thuvienphapluat.vn/van-ban/Doanh-nghiep/Luat-Hop-tac-xa-2023-17-2023-QH15-499239.aspx" \t "_blank" </w:instrText>
      </w:r>
      <w:r>
        <w:fldChar w:fldCharType="separate"/>
      </w:r>
      <w:r>
        <w:t>Luật Hợp tác xã</w:t>
      </w:r>
      <w:r>
        <w:rPr>
          <w:rStyle w:val="14"/>
        </w:rPr>
        <w:fldChar w:fldCharType="end"/>
      </w:r>
      <w:r>
        <w:t>, Nghị định của Chính phủ quy định chi tiết một số điều của </w:t>
      </w:r>
      <w:r>
        <w:fldChar w:fldCharType="begin"/>
      </w:r>
      <w:r>
        <w:instrText xml:space="preserve"> HYPERLINK "https://thuvienphapluat.vn/van-ban/Doanh-nghiep/Luat-Hop-tac-xa-2023-17-2023-QH15-499239.aspx" \t "_blank" </w:instrText>
      </w:r>
      <w:r>
        <w:fldChar w:fldCharType="separate"/>
      </w:r>
      <w:r>
        <w:t>Luật Hợp tác xã</w:t>
      </w:r>
      <w:r>
        <w:fldChar w:fldCharType="end"/>
      </w:r>
      <w:r>
        <w:t> thuê để làm trụ sở, nhà kho, cửa hàng mua bán, trưng bày, giới thiệu sản phẩm phục vụ hoạt động sản xuất, kinh doanh.</w:t>
      </w:r>
    </w:p>
    <w:p w14:paraId="7F878363">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b) </w:t>
      </w:r>
      <w:r>
        <w:rPr>
          <w:rStyle w:val="21"/>
          <w:color w:val="000000" w:themeColor="text1"/>
          <w14:textFill>
            <w14:solidFill>
              <w14:schemeClr w14:val="tx1"/>
            </w14:solidFill>
          </w14:textFill>
        </w:rPr>
        <w:t>Tổ chức quản lý, kinh doanh nhà được UBND</w:t>
      </w:r>
      <w:r>
        <w:rPr>
          <w:color w:val="000000" w:themeColor="text1"/>
          <w:spacing w:val="2"/>
          <w:shd w:val="clear" w:color="auto" w:fill="FFFFFF"/>
          <w14:textFill>
            <w14:solidFill>
              <w14:schemeClr w14:val="tx1"/>
            </w14:solidFill>
          </w14:textFill>
        </w:rPr>
        <w:t xml:space="preserve"> thành phố Hải Phòng giao nhiệm vụ</w:t>
      </w:r>
      <w:r>
        <w:rPr>
          <w:color w:val="000000" w:themeColor="text1"/>
          <w14:textFill>
            <w14:solidFill>
              <w14:schemeClr w14:val="tx1"/>
            </w14:solidFill>
          </w14:textFill>
        </w:rPr>
        <w:t>.</w:t>
      </w:r>
    </w:p>
    <w:p w14:paraId="0CC862C1">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lang w:val="en-GB"/>
        </w:rPr>
      </w:pPr>
      <w:r>
        <w:rPr>
          <w:lang w:val="en-GB"/>
        </w:rPr>
        <w:t>c) Các cơ quan, tổ chức, đơn vị, doanh nghiệp và cá nhân có liên quan.</w:t>
      </w:r>
    </w:p>
    <w:p w14:paraId="1BE8EEF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color w:val="000000" w:themeColor="text1"/>
          <w:lang w:val="nl-NL"/>
          <w14:textFill>
            <w14:solidFill>
              <w14:schemeClr w14:val="tx1"/>
            </w14:solidFill>
          </w14:textFill>
        </w:rPr>
      </w:pPr>
      <w:r>
        <w:rPr>
          <w:b/>
          <w:color w:val="000000" w:themeColor="text1"/>
          <w:lang w:val="nl-NL"/>
          <w14:textFill>
            <w14:solidFill>
              <w14:schemeClr w14:val="tx1"/>
            </w14:solidFill>
          </w14:textFill>
        </w:rPr>
        <w:t>2. Bố cục dự thảo Quyết định</w:t>
      </w:r>
    </w:p>
    <w:p w14:paraId="36BD187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Cs/>
          <w:color w:val="000000" w:themeColor="text1"/>
          <w:lang w:val="nl-NL"/>
          <w14:textFill>
            <w14:solidFill>
              <w14:schemeClr w14:val="tx1"/>
            </w14:solidFill>
          </w14:textFill>
        </w:rPr>
      </w:pPr>
      <w:r>
        <w:rPr>
          <w:bCs/>
          <w:color w:val="000000" w:themeColor="text1"/>
          <w:lang w:val="nl-NL"/>
          <w14:textFill>
            <w14:solidFill>
              <w14:schemeClr w14:val="tx1"/>
            </w14:solidFill>
          </w14:textFill>
        </w:rPr>
        <w:t xml:space="preserve">Dự thảo Quyết định </w:t>
      </w:r>
      <w:r>
        <w:rPr>
          <w:color w:val="000000" w:themeColor="text1"/>
          <w:spacing w:val="2"/>
          <w14:textFill>
            <w14:solidFill>
              <w14:schemeClr w14:val="tx1"/>
            </w14:solidFill>
          </w14:textFill>
        </w:rPr>
        <w:t>gồm 6 Điều như sau:</w:t>
      </w:r>
    </w:p>
    <w:p w14:paraId="03A8C7E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Cs/>
          <w:color w:val="000000" w:themeColor="text1"/>
          <w:lang w:val="nl-NL"/>
          <w14:textFill>
            <w14:solidFill>
              <w14:schemeClr w14:val="tx1"/>
            </w14:solidFill>
          </w14:textFill>
        </w:rPr>
      </w:pPr>
      <w:r>
        <w:rPr>
          <w:b/>
          <w:color w:val="000000" w:themeColor="text1"/>
          <w:lang w:val="nl-NL"/>
          <w14:textFill>
            <w14:solidFill>
              <w14:schemeClr w14:val="tx1"/>
            </w14:solidFill>
          </w14:textFill>
        </w:rPr>
        <w:t xml:space="preserve">Điều 1. </w:t>
      </w:r>
      <w:r>
        <w:rPr>
          <w:bCs/>
          <w:color w:val="000000" w:themeColor="text1"/>
          <w:lang w:val="nl-NL"/>
          <w14:textFill>
            <w14:solidFill>
              <w14:schemeClr w14:val="tx1"/>
            </w14:solidFill>
          </w14:textFill>
        </w:rPr>
        <w:t>Phạm vi điều chỉnh</w:t>
      </w:r>
    </w:p>
    <w:p w14:paraId="055ED8C6">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Cs/>
          <w:color w:val="000000" w:themeColor="text1"/>
          <w:lang w:val="nl-NL"/>
          <w14:textFill>
            <w14:solidFill>
              <w14:schemeClr w14:val="tx1"/>
            </w14:solidFill>
          </w14:textFill>
        </w:rPr>
      </w:pPr>
      <w:r>
        <w:rPr>
          <w:b/>
          <w:color w:val="000000" w:themeColor="text1"/>
          <w:lang w:val="nl-NL"/>
          <w14:textFill>
            <w14:solidFill>
              <w14:schemeClr w14:val="tx1"/>
            </w14:solidFill>
          </w14:textFill>
        </w:rPr>
        <w:t>Điều 2</w:t>
      </w:r>
      <w:r>
        <w:rPr>
          <w:bCs/>
          <w:color w:val="000000" w:themeColor="text1"/>
          <w:lang w:val="nl-NL"/>
          <w14:textFill>
            <w14:solidFill>
              <w14:schemeClr w14:val="tx1"/>
            </w14:solidFill>
          </w14:textFill>
        </w:rPr>
        <w:t>. Đối tượng áp dụng</w:t>
      </w:r>
    </w:p>
    <w:p w14:paraId="4ED158BD">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14:textFill>
            <w14:solidFill>
              <w14:schemeClr w14:val="tx1"/>
            </w14:solidFill>
          </w14:textFill>
        </w:rPr>
        <w:t>Điều 3.</w:t>
      </w:r>
      <w:r>
        <w:rPr>
          <w:color w:val="000000" w:themeColor="text1"/>
          <w14:textFill>
            <w14:solidFill>
              <w14:schemeClr w14:val="tx1"/>
            </w14:solidFill>
          </w14:textFill>
        </w:rPr>
        <w:t xml:space="preserve"> </w:t>
      </w:r>
      <w:r>
        <w:rPr>
          <w:color w:val="000000" w:themeColor="text1"/>
          <w:shd w:val="clear" w:color="auto" w:fill="FFFFFF"/>
          <w14:textFill>
            <w14:solidFill>
              <w14:schemeClr w14:val="tx1"/>
            </w14:solidFill>
          </w14:textFill>
        </w:rPr>
        <w:t>Chính sách ưu đãi tiền thuê nhà cho các đối tượng ưu tiên</w:t>
      </w:r>
      <w:r>
        <w:rPr>
          <w:color w:val="000000" w:themeColor="text1"/>
          <w14:textFill>
            <w14:solidFill>
              <w14:schemeClr w14:val="tx1"/>
            </w14:solidFill>
          </w14:textFill>
        </w:rPr>
        <w:t>.</w:t>
      </w:r>
    </w:p>
    <w:p w14:paraId="5046264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Điều 4. </w:t>
      </w:r>
      <w:r>
        <w:rPr>
          <w:color w:val="000000" w:themeColor="text1"/>
          <w14:textFill>
            <w14:solidFill>
              <w14:schemeClr w14:val="tx1"/>
            </w14:solidFill>
          </w14:textFill>
        </w:rPr>
        <w:t>Quy định chuyển tiếp</w:t>
      </w:r>
    </w:p>
    <w:p w14:paraId="2E381112">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14:textFill>
            <w14:solidFill>
              <w14:schemeClr w14:val="tx1"/>
            </w14:solidFill>
          </w14:textFill>
        </w:rPr>
        <w:t>Điều 5.</w:t>
      </w:r>
      <w:r>
        <w:rPr>
          <w:color w:val="000000" w:themeColor="text1"/>
          <w14:textFill>
            <w14:solidFill>
              <w14:schemeClr w14:val="tx1"/>
            </w14:solidFill>
          </w14:textFill>
        </w:rPr>
        <w:t xml:space="preserve"> Hiệu lực thi hành</w:t>
      </w:r>
    </w:p>
    <w:p w14:paraId="37F3A2C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14:textFill>
            <w14:solidFill>
              <w14:schemeClr w14:val="tx1"/>
            </w14:solidFill>
          </w14:textFill>
        </w:rPr>
        <w:t>Điều 6.</w:t>
      </w:r>
      <w:r>
        <w:rPr>
          <w:color w:val="000000" w:themeColor="text1"/>
          <w14:textFill>
            <w14:solidFill>
              <w14:schemeClr w14:val="tx1"/>
            </w14:solidFill>
          </w14:textFill>
        </w:rPr>
        <w:t xml:space="preserve"> Trách nhiệm thi hành</w:t>
      </w:r>
    </w:p>
    <w:p w14:paraId="5CF71E7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lang w:val="nl-NL"/>
        </w:rPr>
      </w:pPr>
      <w:bookmarkStart w:id="1" w:name="_Hlk165992529"/>
      <w:r>
        <w:rPr>
          <w:b/>
          <w:bCs/>
          <w:lang w:val="nl-NL"/>
        </w:rPr>
        <w:t>3. Nội dung cơ bản của Dự thảo</w:t>
      </w:r>
    </w:p>
    <w:p w14:paraId="12294414">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Cs/>
          <w:color w:val="000000" w:themeColor="text1"/>
          <w:lang w:val="nl-NL"/>
          <w14:textFill>
            <w14:solidFill>
              <w14:schemeClr w14:val="tx1"/>
            </w14:solidFill>
          </w14:textFill>
        </w:rPr>
      </w:pPr>
      <w:r>
        <w:rPr>
          <w:bCs/>
          <w:color w:val="000000" w:themeColor="text1"/>
          <w:lang w:val="nl-NL"/>
          <w14:textFill>
            <w14:solidFill>
              <w14:schemeClr w14:val="tx1"/>
            </w14:solidFill>
          </w14:textFill>
        </w:rPr>
        <w:t xml:space="preserve">Từ các quy định nêu trên, chính sách </w:t>
      </w:r>
      <w:r>
        <w:rPr>
          <w:color w:val="000000" w:themeColor="text1"/>
          <w14:textFill>
            <w14:solidFill>
              <w14:schemeClr w14:val="tx1"/>
            </w14:solidFill>
          </w14:textFill>
        </w:rPr>
        <w:t xml:space="preserve">miễn, giảm </w:t>
      </w:r>
      <w:r>
        <w:rPr>
          <w:color w:val="000000" w:themeColor="text1"/>
          <w:spacing w:val="2"/>
          <w14:textFill>
            <w14:solidFill>
              <w14:schemeClr w14:val="tx1"/>
            </w14:solidFill>
          </w14:textFill>
        </w:rPr>
        <w:t>tiền thuê nhà cho các đối tượng ưu tiên trên địa bàn thành phố Hải Phòng với nội dung cơ bản như sau:</w:t>
      </w:r>
    </w:p>
    <w:p w14:paraId="584FF4B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color w:val="000000" w:themeColor="text1"/>
          <w:lang w:val="nl-NL"/>
          <w14:textFill>
            <w14:solidFill>
              <w14:schemeClr w14:val="tx1"/>
            </w14:solidFill>
          </w14:textFill>
        </w:rPr>
        <w:t xml:space="preserve">3.1. </w:t>
      </w:r>
      <w:r>
        <w:rPr>
          <w:b/>
          <w:bCs/>
          <w:color w:val="000000" w:themeColor="text1"/>
          <w:shd w:val="clear" w:color="auto" w:fill="FFFFFF"/>
          <w14:textFill>
            <w14:solidFill>
              <w14:schemeClr w14:val="tx1"/>
            </w14:solidFill>
          </w14:textFill>
        </w:rPr>
        <w:t>Chính sách ưu đãi tiền thuê nhà cho các đối tượng ưu tiên</w:t>
      </w:r>
      <w:r>
        <w:rPr>
          <w:b/>
          <w:bCs/>
          <w:color w:val="000000" w:themeColor="text1"/>
          <w14:textFill>
            <w14:solidFill>
              <w14:schemeClr w14:val="tx1"/>
            </w14:solidFill>
          </w14:textFill>
        </w:rPr>
        <w:t>.</w:t>
      </w:r>
    </w:p>
    <w:p w14:paraId="24E9E09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a) </w:t>
      </w:r>
      <w:r>
        <w:rPr>
          <w:rStyle w:val="21"/>
          <w:color w:val="000000" w:themeColor="text1"/>
          <w14:textFill>
            <w14:solidFill>
              <w14:schemeClr w14:val="tx1"/>
            </w14:solidFill>
          </w14:textFill>
        </w:rPr>
        <w:t xml:space="preserve">Hội </w:t>
      </w:r>
      <w:r>
        <w:rPr>
          <w:color w:val="000000" w:themeColor="text1"/>
          <w:shd w:val="clear" w:color="auto" w:fill="FFFFFF"/>
          <w14:textFill>
            <w14:solidFill>
              <w14:schemeClr w14:val="tx1"/>
            </w14:solidFill>
          </w14:textFill>
        </w:rPr>
        <w:t xml:space="preserve">do Đảng, Nhà nước giao nhiệm vụ </w:t>
      </w:r>
      <w:r>
        <w:rPr>
          <w:rStyle w:val="21"/>
          <w:color w:val="000000" w:themeColor="text1"/>
          <w14:textFill>
            <w14:solidFill>
              <w14:schemeClr w14:val="tx1"/>
            </w14:solidFill>
          </w14:textFill>
        </w:rPr>
        <w:t>thuộc phạm vi quản lý của</w:t>
      </w:r>
      <w:r>
        <w:rPr>
          <w:color w:val="000000" w:themeColor="text1"/>
          <w:shd w:val="clear" w:color="auto" w:fill="FFFFFF"/>
          <w14:textFill>
            <w14:solidFill>
              <w14:schemeClr w14:val="tx1"/>
            </w14:solidFill>
          </w14:textFill>
        </w:rPr>
        <w:t xml:space="preserve"> thành phố Hải Phòng</w:t>
      </w:r>
      <w:r>
        <w:rPr>
          <w:color w:val="000000" w:themeColor="text1"/>
          <w14:textFill>
            <w14:solidFill>
              <w14:schemeClr w14:val="tx1"/>
            </w14:solidFill>
          </w14:textFill>
        </w:rPr>
        <w:t xml:space="preserve"> thuê nhà là tài sản công để làm trụ sở làm việc được </w:t>
      </w:r>
      <w:r>
        <w:rPr>
          <w:b/>
          <w:color w:val="000000" w:themeColor="text1"/>
          <w14:textFill>
            <w14:solidFill>
              <w14:schemeClr w14:val="tx1"/>
            </w14:solidFill>
          </w14:textFill>
        </w:rPr>
        <w:t>giảm tiền thuê nhà</w:t>
      </w:r>
      <w:r>
        <w:rPr>
          <w:color w:val="000000" w:themeColor="text1"/>
          <w14:textFill>
            <w14:solidFill>
              <w14:schemeClr w14:val="tx1"/>
            </w14:solidFill>
          </w14:textFill>
        </w:rPr>
        <w:t xml:space="preserve"> theo quy định tại điểm b khoản 2 Điều 10 Nghị định số 108/2024/NĐ-CP ngày 23/8/2024 của Chính phủ.</w:t>
      </w:r>
    </w:p>
    <w:p w14:paraId="6E9AD3A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b) Cơ sở thực hiện xã hội hóa thuộc đối tượng quy định tại khoản 1 Điều 2 Quyết định này nếu thuê nhà để làm cơ sở hoạt động được </w:t>
      </w:r>
      <w:r>
        <w:rPr>
          <w:b/>
          <w:color w:val="000000" w:themeColor="text1"/>
          <w14:textFill>
            <w14:solidFill>
              <w14:schemeClr w14:val="tx1"/>
            </w14:solidFill>
          </w14:textFill>
        </w:rPr>
        <w:t>miễn, giảm tiền thuê nhà bằng mức miễn, giảm tiền thuê đất</w:t>
      </w:r>
      <w:r>
        <w:rPr>
          <w:color w:val="000000" w:themeColor="text1"/>
          <w14:textFill>
            <w14:solidFill>
              <w14:schemeClr w14:val="tx1"/>
            </w14:solidFill>
          </w14:textFill>
        </w:rPr>
        <w:t xml:space="preserve"> tại khoản 7 Điều 5 Nghị </w:t>
      </w:r>
      <w:r>
        <w:t>định số 230/2025/NĐ-CP ngày 19/8/2025 của Chính phủ</w:t>
      </w:r>
      <w:r>
        <w:rPr>
          <w:color w:val="000000" w:themeColor="text1"/>
          <w14:textFill>
            <w14:solidFill>
              <w14:schemeClr w14:val="tx1"/>
            </w14:solidFill>
          </w14:textFill>
        </w:rPr>
        <w:t>.</w:t>
      </w:r>
    </w:p>
    <w:p w14:paraId="579F299F">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pPr>
      <w:r>
        <w:rPr>
          <w:lang w:val="en-GB"/>
        </w:rPr>
        <w:t xml:space="preserve">c) </w:t>
      </w:r>
      <w:r>
        <w:t>Hợp tác xã, liên hiệp hợp tác xã, tổ hợp tác đáp ứng các tiêu chí để được thụ hưởng chính sách hỗ trợ của Nhà nước theo quy định tại </w:t>
      </w:r>
      <w:r>
        <w:fldChar w:fldCharType="begin"/>
      </w:r>
      <w:r>
        <w:instrText xml:space="preserve"> HYPERLINK "https://thuvienphapluat.vn/van-ban/Doanh-nghiep/Luat-Hop-tac-xa-2023-17-2023-QH15-499239.aspx" \t "_blank" </w:instrText>
      </w:r>
      <w:r>
        <w:fldChar w:fldCharType="separate"/>
      </w:r>
      <w:r>
        <w:t>Luật Hợp tác xã</w:t>
      </w:r>
      <w:r>
        <w:fldChar w:fldCharType="end"/>
      </w:r>
      <w:r>
        <w:t>, Nghị định của Chính phủ quy định chi tiết một số điều của </w:t>
      </w:r>
      <w:r>
        <w:fldChar w:fldCharType="begin"/>
      </w:r>
      <w:r>
        <w:instrText xml:space="preserve"> HYPERLINK "https://thuvienphapluat.vn/van-ban/Doanh-nghiep/Luat-Hop-tac-xa-2023-17-2023-QH15-499239.aspx" \t "_blank" </w:instrText>
      </w:r>
      <w:r>
        <w:fldChar w:fldCharType="separate"/>
      </w:r>
      <w:r>
        <w:t>Luật Hợp tác xã</w:t>
      </w:r>
      <w:r>
        <w:fldChar w:fldCharType="end"/>
      </w:r>
      <w:r>
        <w:t xml:space="preserve"> thuê để làm trụ sở, nhà kho, cửa hàng mua bán, trưng bày, giới thiệu sản phẩm phục vụ hoạt động sản xuất, kinh doanh được </w:t>
      </w:r>
      <w:r>
        <w:rPr>
          <w:b/>
          <w:bCs/>
        </w:rPr>
        <w:t xml:space="preserve">giảm 50% tiền thuê nhà bằng mức giảm tiền thuê đất </w:t>
      </w:r>
      <w:r>
        <w:t>tại khoản 8 Điều 5 Nghị định số 230/2025/NĐ-CP ngày 19/8/2025 của Chính phủ quy định các trường hợp khác được miễn, giảm tiền thuê đất, tiền thuê đất theo quy định tại khoản 2 Điều 157 Luật Đất đai năm 2024</w:t>
      </w:r>
      <w:bookmarkStart w:id="2" w:name="_GoBack"/>
      <w:bookmarkEnd w:id="2"/>
      <w:r>
        <w:t>.</w:t>
      </w:r>
    </w:p>
    <w:p w14:paraId="7D16D9C2">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b/>
          <w:bCs/>
          <w:color w:val="000000" w:themeColor="text1"/>
          <w14:textFill>
            <w14:solidFill>
              <w14:schemeClr w14:val="tx1"/>
            </w14:solidFill>
          </w14:textFill>
        </w:rPr>
        <w:t>3.2. Quy định chuyển tiếp</w:t>
      </w:r>
    </w:p>
    <w:p w14:paraId="4F4B4519">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2"/>
          <w:shd w:val="clear" w:color="auto" w:fill="FFFFFF"/>
          <w14:textFill>
            <w14:solidFill>
              <w14:schemeClr w14:val="tx1"/>
            </w14:solidFill>
          </w14:textFill>
        </w:rPr>
      </w:pPr>
      <w:r>
        <w:rPr>
          <w:color w:val="000000" w:themeColor="text1"/>
          <w14:textFill>
            <w14:solidFill>
              <w14:schemeClr w14:val="tx1"/>
            </w14:solidFill>
          </w14:textFill>
        </w:rPr>
        <w:t xml:space="preserve">- </w:t>
      </w:r>
      <w:r>
        <w:rPr>
          <w:color w:val="000000" w:themeColor="text1"/>
          <w:spacing w:val="2"/>
          <w:shd w:val="clear" w:color="auto" w:fill="FFFFFF"/>
          <w14:textFill>
            <w14:solidFill>
              <w14:schemeClr w14:val="tx1"/>
            </w14:solidFill>
          </w14:textFill>
        </w:rPr>
        <w:t xml:space="preserve">Đối với các cơ sở nhà đất </w:t>
      </w:r>
      <w:r>
        <w:rPr>
          <w:color w:val="000000" w:themeColor="text1"/>
          <w:shd w:val="clear" w:color="auto" w:fill="FFFFFF"/>
          <w14:textFill>
            <w14:solidFill>
              <w14:schemeClr w14:val="tx1"/>
            </w14:solidFill>
          </w14:textFill>
        </w:rPr>
        <w:t xml:space="preserve">đang cho thuê theo Hợp đồng ký trước ngày </w:t>
      </w:r>
      <w:r>
        <w:rPr>
          <w:color w:val="000000" w:themeColor="text1"/>
          <w:spacing w:val="2"/>
          <w14:textFill>
            <w14:solidFill>
              <w14:schemeClr w14:val="tx1"/>
            </w14:solidFill>
          </w14:textFill>
        </w:rPr>
        <w:t xml:space="preserve">Nghị định số </w:t>
      </w:r>
      <w:r>
        <w:rPr>
          <w:rStyle w:val="21"/>
          <w:color w:val="000000" w:themeColor="text1"/>
          <w14:textFill>
            <w14:solidFill>
              <w14:schemeClr w14:val="tx1"/>
            </w14:solidFill>
          </w14:textFill>
        </w:rPr>
        <w:t>108/2024/NĐ-CP ngày 23/8/2024 của Chính phủ</w:t>
      </w:r>
      <w:r>
        <w:rPr>
          <w:color w:val="000000" w:themeColor="text1"/>
          <w:shd w:val="clear" w:color="auto" w:fill="FFFFFF"/>
          <w14:textFill>
            <w14:solidFill>
              <w14:schemeClr w14:val="tx1"/>
            </w14:solidFill>
          </w14:textFill>
        </w:rPr>
        <w:t xml:space="preserve"> có hiệu lực thi hành và thuộc phạm vi điều chỉnh, trường hợp xử lý chuyển tiếp theo quy định tại khoản 2 Điều 31 </w:t>
      </w:r>
      <w:r>
        <w:rPr>
          <w:color w:val="000000" w:themeColor="text1"/>
          <w:spacing w:val="2"/>
          <w14:textFill>
            <w14:solidFill>
              <w14:schemeClr w14:val="tx1"/>
            </w14:solidFill>
          </w14:textFill>
        </w:rPr>
        <w:t xml:space="preserve">Nghị định số </w:t>
      </w:r>
      <w:r>
        <w:rPr>
          <w:rStyle w:val="21"/>
          <w:color w:val="000000" w:themeColor="text1"/>
          <w14:textFill>
            <w14:solidFill>
              <w14:schemeClr w14:val="tx1"/>
            </w14:solidFill>
          </w14:textFill>
        </w:rPr>
        <w:t>108/2024/NĐ-CP thì được hưởng chính sách quy định tại Điều 3 Quyết định này kể từ ngày Quyết định có hiệu lực thi hành</w:t>
      </w:r>
      <w:r>
        <w:rPr>
          <w:color w:val="000000" w:themeColor="text1"/>
          <w:spacing w:val="2"/>
          <w:shd w:val="clear" w:color="auto" w:fill="FFFFFF"/>
          <w14:textFill>
            <w14:solidFill>
              <w14:schemeClr w14:val="tx1"/>
            </w14:solidFill>
          </w14:textFill>
        </w:rPr>
        <w:t>.</w:t>
      </w:r>
    </w:p>
    <w:p w14:paraId="47A7A3F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u w:color="FF0000"/>
          <w14:textFill>
            <w14:solidFill>
              <w14:schemeClr w14:val="tx1"/>
            </w14:solidFill>
          </w14:textFill>
        </w:rPr>
      </w:pPr>
      <w:r>
        <w:rPr>
          <w:color w:val="000000" w:themeColor="text1"/>
          <w14:textFill>
            <w14:solidFill>
              <w14:schemeClr w14:val="tx1"/>
            </w14:solidFill>
          </w14:textFill>
        </w:rPr>
        <w:t xml:space="preserve">- </w:t>
      </w:r>
      <w:r>
        <w:rPr>
          <w:color w:val="000000" w:themeColor="text1"/>
          <w:lang w:val="nl-NL"/>
          <w14:textFill>
            <w14:solidFill>
              <w14:schemeClr w14:val="tx1"/>
            </w14:solidFill>
          </w14:textFill>
        </w:rPr>
        <w:t xml:space="preserve">Ủy ban nhân </w:t>
      </w:r>
      <w:r>
        <w:rPr>
          <w:color w:val="000000" w:themeColor="text1"/>
          <w:u w:color="FF0000"/>
          <w:lang w:val="vi-VN"/>
          <w14:textFill>
            <w14:solidFill>
              <w14:schemeClr w14:val="tx1"/>
            </w14:solidFill>
          </w14:textFill>
        </w:rPr>
        <w:t xml:space="preserve">dân </w:t>
      </w:r>
      <w:r>
        <w:rPr>
          <w:color w:val="000000" w:themeColor="text1"/>
          <w:u w:color="FF0000"/>
          <w14:textFill>
            <w14:solidFill>
              <w14:schemeClr w14:val="tx1"/>
            </w14:solidFill>
          </w14:textFill>
        </w:rPr>
        <w:t>cấp xã và các cơ quan, đơn vị tổ chức thực hiện Quyết định.</w:t>
      </w:r>
    </w:p>
    <w:p w14:paraId="7C9B1A8F">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Cs/>
          <w:lang w:val="nl-NL"/>
        </w:rPr>
      </w:pPr>
      <w:r>
        <w:rPr>
          <w:b/>
          <w:lang w:val="nl-NL"/>
        </w:rPr>
        <w:t>V. NHỮNG NỘI DUNG BỔ SUNG MỚI SO VỚI DỰ THẢO VĂN BẢN GỬI THẨM ĐỊNH (NẾU CÓ</w:t>
      </w:r>
      <w:r>
        <w:rPr>
          <w:bCs/>
          <w:lang w:val="nl-NL"/>
        </w:rPr>
        <w:t>): Không có</w:t>
      </w:r>
    </w:p>
    <w:p w14:paraId="4C2F5A1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lang w:val="nl-NL"/>
        </w:rPr>
      </w:pPr>
      <w:r>
        <w:rPr>
          <w:b/>
          <w:lang w:val="nl-NL"/>
        </w:rPr>
        <w:t>VI. DỰ KIẾN NGUỒN LỰC, ĐIỀU KIỆN BẢO ĐẢM CHO VIỆC THI HÀNH VĂN BẢN VÀ THỜI GIAN TRÌNH THÔNG QUA/BAN HÀNH</w:t>
      </w:r>
    </w:p>
    <w:p w14:paraId="6A45E0D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rStyle w:val="32"/>
          <w:b/>
          <w:color w:val="000000" w:themeColor="text1"/>
          <w:spacing w:val="-4"/>
          <w14:textFill>
            <w14:solidFill>
              <w14:schemeClr w14:val="tx1"/>
            </w14:solidFill>
          </w14:textFill>
        </w:rPr>
      </w:pPr>
      <w:r>
        <w:rPr>
          <w:rStyle w:val="32"/>
          <w:b/>
          <w:color w:val="000000" w:themeColor="text1"/>
          <w:spacing w:val="-4"/>
          <w14:textFill>
            <w14:solidFill>
              <w14:schemeClr w14:val="tx1"/>
            </w14:solidFill>
          </w14:textFill>
        </w:rPr>
        <w:t>1. Dự kiến nguồn lực, điều kiện đảm bảo cho việc thi hành Quyết định</w:t>
      </w:r>
    </w:p>
    <w:p w14:paraId="00BFE8C4">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lang w:val="nl-NL"/>
        </w:rPr>
      </w:pPr>
      <w:r>
        <w:rPr>
          <w:lang w:val="nl-NL"/>
        </w:rPr>
        <w:t>Quyết định này ban hành quy định chính sách ưu đãi (miễn, giảm) tiền thuê nhà cho các đối tượng ưu tiên trên cơ sở các cơ sở nhà, đất dôi dư không còn nhu sử dụng của các cơ quan, đơn vị giao cho tổ chức quản lý, kinh doanh nhà được Ủy ban nhân dân các cấp giao nhiệm vụ quản lý, khai thác, dựa trên nguồn lực sẵn có; không làm phát sinh tăng chi từ ngân sách nhà nước.</w:t>
      </w:r>
    </w:p>
    <w:p w14:paraId="4A32D71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rStyle w:val="32"/>
          <w:color w:val="000000" w:themeColor="text1"/>
          <w:spacing w:val="-4"/>
          <w14:textFill>
            <w14:solidFill>
              <w14:schemeClr w14:val="tx1"/>
            </w14:solidFill>
          </w14:textFill>
        </w:rPr>
      </w:pPr>
      <w:r>
        <w:rPr>
          <w:rStyle w:val="32"/>
          <w:color w:val="000000" w:themeColor="text1"/>
          <w:spacing w:val="-4"/>
          <w14:textFill>
            <w14:solidFill>
              <w14:schemeClr w14:val="tx1"/>
            </w14:solidFill>
          </w14:textFill>
        </w:rPr>
        <w:t>Quyết định khi ban hành được sử dụng các cơ quan, đơn vị, không phát sinh thêm tổ chức bộ máy, biên chế mới.</w:t>
      </w:r>
    </w:p>
    <w:p w14:paraId="00BE5C36">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lang w:val="nl-NL"/>
        </w:rPr>
      </w:pPr>
      <w:r>
        <w:rPr>
          <w:rStyle w:val="32"/>
          <w:b/>
          <w:color w:val="000000" w:themeColor="text1"/>
          <w:spacing w:val="-4"/>
          <w14:textFill>
            <w14:solidFill>
              <w14:schemeClr w14:val="tx1"/>
            </w14:solidFill>
          </w14:textFill>
        </w:rPr>
        <w:t xml:space="preserve">2. </w:t>
      </w:r>
      <w:bookmarkEnd w:id="1"/>
      <w:r>
        <w:rPr>
          <w:lang w:val="nl-NL"/>
        </w:rPr>
        <w:t xml:space="preserve">Thời gian ban hành Quyết định: </w:t>
      </w:r>
      <w:r>
        <w:rPr>
          <w:rFonts w:hint="default"/>
          <w:lang w:val="en-US"/>
        </w:rPr>
        <w:t>T</w:t>
      </w:r>
      <w:r>
        <w:rPr>
          <w:lang w:val="nl-NL"/>
        </w:rPr>
        <w:t xml:space="preserve">háng </w:t>
      </w:r>
      <w:r>
        <w:rPr>
          <w:rFonts w:hint="default"/>
          <w:lang w:val="en-US"/>
        </w:rPr>
        <w:t>5</w:t>
      </w:r>
      <w:r>
        <w:rPr>
          <w:lang w:val="nl-NL"/>
        </w:rPr>
        <w:t xml:space="preserve"> năm 2026.</w:t>
      </w:r>
    </w:p>
    <w:p w14:paraId="523F993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lang w:val="nl-NL"/>
        </w:rPr>
      </w:pPr>
      <w:r>
        <w:rPr>
          <w:b/>
          <w:lang w:val="nl-NL"/>
        </w:rPr>
        <w:t>VII. NHỮNG VẤN ĐỀ XIN Ý KIẾN:</w:t>
      </w:r>
      <w:r>
        <w:rPr>
          <w:lang w:val="nl-NL"/>
        </w:rPr>
        <w:t xml:space="preserve"> Không có</w:t>
      </w:r>
    </w:p>
    <w:p w14:paraId="542DE81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Trên đây là Tờ trình về dự thảo Quyết định </w:t>
      </w:r>
      <w:r>
        <w:rPr>
          <w:rFonts w:eastAsia="Calibri"/>
          <w:color w:val="000000" w:themeColor="text1"/>
          <w:spacing w:val="2"/>
          <w14:textFill>
            <w14:solidFill>
              <w14:schemeClr w14:val="tx1"/>
            </w14:solidFill>
          </w14:textFill>
        </w:rPr>
        <w:t>q</w:t>
      </w:r>
      <w:r>
        <w:rPr>
          <w:color w:val="000000" w:themeColor="text1"/>
          <w:spacing w:val="2"/>
          <w14:textFill>
            <w14:solidFill>
              <w14:schemeClr w14:val="tx1"/>
            </w14:solidFill>
          </w14:textFill>
        </w:rPr>
        <w:t>uy định</w:t>
      </w:r>
      <w:r>
        <w:rPr>
          <w:rFonts w:eastAsia="Calibri"/>
          <w:color w:val="000000" w:themeColor="text1"/>
          <w:spacing w:val="2"/>
          <w14:textFill>
            <w14:solidFill>
              <w14:schemeClr w14:val="tx1"/>
            </w14:solidFill>
          </w14:textFill>
        </w:rPr>
        <w:t xml:space="preserve"> </w:t>
      </w:r>
      <w:r>
        <w:rPr>
          <w:color w:val="000000" w:themeColor="text1"/>
          <w:spacing w:val="2"/>
          <w14:textFill>
            <w14:solidFill>
              <w14:schemeClr w14:val="tx1"/>
            </w14:solidFill>
          </w14:textFill>
        </w:rPr>
        <w:t>chính sách ưu đãi (miễn, giảm) tiền thuê nhà cho các đối tượng ưu tiên trên địa bàn thành phố Hải Phòng.</w:t>
      </w:r>
      <w:r>
        <w:rPr>
          <w:color w:val="000000" w:themeColor="text1"/>
          <w14:textFill>
            <w14:solidFill>
              <w14:schemeClr w14:val="tx1"/>
            </w14:solidFill>
          </w14:textFill>
        </w:rPr>
        <w:t xml:space="preserve"> Sở Tài chính kính trình Ủy ban nhân dân thành phố quyết định./.</w:t>
      </w:r>
    </w:p>
    <w:p w14:paraId="31879E96">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i/>
          <w:iCs/>
          <w:color w:val="000000" w:themeColor="text1"/>
          <w14:textFill>
            <w14:solidFill>
              <w14:schemeClr w14:val="tx1"/>
            </w14:solidFill>
          </w14:textFill>
        </w:rPr>
      </w:pP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(Gửi kèm theo:</w:t>
      </w:r>
    </w:p>
    <w:p w14:paraId="1CF9E774">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i/>
          <w:iCs/>
          <w:color w:val="000000" w:themeColor="text1"/>
          <w14:textFill>
            <w14:solidFill>
              <w14:schemeClr w14:val="tx1"/>
            </w14:solidFill>
          </w14:textFill>
        </w:rPr>
      </w:pPr>
      <w:r>
        <w:rPr>
          <w:i/>
          <w:iCs/>
          <w:color w:val="000000" w:themeColor="text1"/>
          <w14:textFill>
            <w14:solidFill>
              <w14:schemeClr w14:val="tx1"/>
            </w14:solidFill>
          </w14:textFill>
        </w:rPr>
        <w:t>- Dự thảo Quyết định của Uỷ ban nhân dân thành phố;</w:t>
      </w:r>
    </w:p>
    <w:p w14:paraId="64DFA21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i/>
          <w:iCs/>
          <w:color w:val="000000" w:themeColor="text1"/>
          <w14:textFill>
            <w14:solidFill>
              <w14:schemeClr w14:val="tx1"/>
            </w14:solidFill>
          </w14:textFill>
        </w:rPr>
      </w:pPr>
      <w:r>
        <w:rPr>
          <w:i/>
          <w:iCs/>
          <w:color w:val="000000" w:themeColor="text1"/>
          <w14:textFill>
            <w14:solidFill>
              <w14:schemeClr w14:val="tx1"/>
            </w14:solidFill>
          </w14:textFill>
        </w:rPr>
        <w:t>- Bản tổng hợp ý kiến, tiếp thu, giải trình ý kiến góp ý dự thảo Quyết định;</w:t>
      </w:r>
    </w:p>
    <w:p w14:paraId="604C542A">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i/>
          <w:iCs/>
          <w:color w:val="000000" w:themeColor="text1"/>
          <w14:textFill>
            <w14:solidFill>
              <w14:schemeClr w14:val="tx1"/>
            </w14:solidFill>
          </w14:textFill>
        </w:rPr>
      </w:pPr>
      <w:r>
        <w:rPr>
          <w:i/>
          <w:iCs/>
          <w:color w:val="000000" w:themeColor="text1"/>
          <w14:textFill>
            <w14:solidFill>
              <w14:schemeClr w14:val="tx1"/>
            </w14:solidFill>
          </w14:textFill>
        </w:rPr>
        <w:t>- Báo cáo thẩm định của Sở Tư pháp, báo cáo giải trình, tiếp thu ý kiến thẩm định; Bản tổng hợp, giải trình, tiếp thu ý kiến góp ý kèm theo)</w:t>
      </w:r>
    </w:p>
    <w:tbl>
      <w:tblPr>
        <w:tblStyle w:val="16"/>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70CF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5713038C">
            <w:pPr>
              <w:rPr>
                <w:b/>
                <w:i/>
                <w:color w:val="000000" w:themeColor="text1"/>
                <w:sz w:val="24"/>
                <w:szCs w:val="24"/>
                <w14:textFill>
                  <w14:solidFill>
                    <w14:schemeClr w14:val="tx1"/>
                  </w14:solidFill>
                </w14:textFill>
              </w:rPr>
            </w:pPr>
            <w:r>
              <w:rPr>
                <w:b/>
                <w:i/>
                <w:color w:val="000000" w:themeColor="text1"/>
                <w:sz w:val="24"/>
                <w:szCs w:val="24"/>
                <w14:textFill>
                  <w14:solidFill>
                    <w14:schemeClr w14:val="tx1"/>
                  </w14:solidFill>
                </w14:textFill>
              </w:rPr>
              <w:t>Nơi nhận:</w:t>
            </w:r>
          </w:p>
          <w:p w14:paraId="0F7BE33C">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Như trên;</w:t>
            </w:r>
          </w:p>
          <w:p w14:paraId="77FD212C">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Sở Tư pháp;</w:t>
            </w:r>
          </w:p>
          <w:p w14:paraId="1EC93251">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Giám đốc Sở;</w:t>
            </w:r>
          </w:p>
          <w:p w14:paraId="24C2BDFE">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PGĐ: Nguyễn Đồng Kim;</w:t>
            </w:r>
          </w:p>
          <w:p w14:paraId="279C05C6">
            <w:pPr>
              <w:rPr>
                <w:color w:val="000000" w:themeColor="text1"/>
                <w:sz w:val="24"/>
                <w:szCs w:val="24"/>
                <w14:textFill>
                  <w14:solidFill>
                    <w14:schemeClr w14:val="tx1"/>
                  </w14:solidFill>
                </w14:textFill>
              </w:rPr>
            </w:pPr>
            <w:r>
              <w:rPr>
                <w:color w:val="000000" w:themeColor="text1"/>
                <w:sz w:val="22"/>
                <w:szCs w:val="22"/>
                <w14:textFill>
                  <w14:solidFill>
                    <w14:schemeClr w14:val="tx1"/>
                  </w14:solidFill>
                </w14:textFill>
              </w:rPr>
              <w:t>- Lưu: VT, QLCS.</w:t>
            </w:r>
          </w:p>
        </w:tc>
        <w:tc>
          <w:tcPr>
            <w:tcW w:w="4644" w:type="dxa"/>
          </w:tcPr>
          <w:p w14:paraId="2796472F">
            <w:pPr>
              <w:rPr>
                <w:b/>
                <w:color w:val="000000" w:themeColor="text1"/>
                <w14:textFill>
                  <w14:solidFill>
                    <w14:schemeClr w14:val="tx1"/>
                  </w14:solidFill>
                </w14:textFill>
              </w:rPr>
            </w:pPr>
            <w:r>
              <w:rPr>
                <w:b/>
                <w:color w:val="000000" w:themeColor="text1"/>
                <w14:textFill>
                  <w14:solidFill>
                    <w14:schemeClr w14:val="tx1"/>
                  </w14:solidFill>
                </w14:textFill>
              </w:rPr>
              <w:t xml:space="preserve">                  GIÁM ĐỐC</w:t>
            </w:r>
          </w:p>
          <w:p w14:paraId="2244AB46">
            <w:pPr>
              <w:jc w:val="center"/>
              <w:rPr>
                <w:b/>
                <w:color w:val="000000" w:themeColor="text1"/>
                <w14:textFill>
                  <w14:solidFill>
                    <w14:schemeClr w14:val="tx1"/>
                  </w14:solidFill>
                </w14:textFill>
              </w:rPr>
            </w:pPr>
          </w:p>
          <w:p w14:paraId="76801F83">
            <w:pPr>
              <w:jc w:val="center"/>
              <w:rPr>
                <w:b/>
                <w:color w:val="000000" w:themeColor="text1"/>
                <w14:textFill>
                  <w14:solidFill>
                    <w14:schemeClr w14:val="tx1"/>
                  </w14:solidFill>
                </w14:textFill>
              </w:rPr>
            </w:pPr>
          </w:p>
          <w:p w14:paraId="0F9DDA8D">
            <w:pPr>
              <w:jc w:val="center"/>
              <w:rPr>
                <w:b/>
                <w:color w:val="000000" w:themeColor="text1"/>
                <w14:textFill>
                  <w14:solidFill>
                    <w14:schemeClr w14:val="tx1"/>
                  </w14:solidFill>
                </w14:textFill>
              </w:rPr>
            </w:pPr>
          </w:p>
          <w:p w14:paraId="43E56FBF">
            <w:pPr>
              <w:jc w:val="center"/>
              <w:rPr>
                <w:b/>
                <w:color w:val="000000" w:themeColor="text1"/>
                <w14:textFill>
                  <w14:solidFill>
                    <w14:schemeClr w14:val="tx1"/>
                  </w14:solidFill>
                </w14:textFill>
              </w:rPr>
            </w:pPr>
          </w:p>
          <w:p w14:paraId="3F6B6BC7">
            <w:pPr>
              <w:jc w:val="center"/>
              <w:rPr>
                <w:b/>
                <w:color w:val="000000" w:themeColor="text1"/>
                <w14:textFill>
                  <w14:solidFill>
                    <w14:schemeClr w14:val="tx1"/>
                  </w14:solidFill>
                </w14:textFill>
              </w:rPr>
            </w:pPr>
          </w:p>
          <w:p w14:paraId="171298D9">
            <w:pPr>
              <w:jc w:val="center"/>
              <w:rPr>
                <w:b/>
                <w:color w:val="000000" w:themeColor="text1"/>
                <w14:textFill>
                  <w14:solidFill>
                    <w14:schemeClr w14:val="tx1"/>
                  </w14:solidFill>
                </w14:textFill>
              </w:rPr>
            </w:pPr>
          </w:p>
          <w:p w14:paraId="3F7E715B">
            <w:pPr>
              <w:jc w:val="center"/>
              <w:rPr>
                <w:b/>
                <w:color w:val="000000" w:themeColor="text1"/>
                <w14:textFill>
                  <w14:solidFill>
                    <w14:schemeClr w14:val="tx1"/>
                  </w14:solidFill>
                </w14:textFill>
              </w:rPr>
            </w:pPr>
            <w:r>
              <w:rPr>
                <w:b/>
                <w:color w:val="000000" w:themeColor="text1"/>
                <w14:textFill>
                  <w14:solidFill>
                    <w14:schemeClr w14:val="tx1"/>
                  </w14:solidFill>
                </w14:textFill>
              </w:rPr>
              <w:t>Nguyễn Ngọc Tú</w:t>
            </w:r>
          </w:p>
        </w:tc>
      </w:tr>
    </w:tbl>
    <w:p w14:paraId="45467CBD">
      <w:pPr>
        <w:pBdr>
          <w:top w:val="dotted" w:color="FFFFFF" w:sz="4" w:space="0"/>
          <w:left w:val="dotted" w:color="FFFFFF" w:sz="4" w:space="0"/>
          <w:bottom w:val="dotted" w:color="FFFFFF" w:sz="4" w:space="22"/>
          <w:right w:val="dotted" w:color="FFFFFF" w:sz="4" w:space="0"/>
        </w:pBdr>
        <w:shd w:val="clear" w:color="auto" w:fill="FFFFFF"/>
        <w:spacing w:after="120"/>
        <w:jc w:val="both"/>
        <w:rPr>
          <w:bCs/>
          <w:color w:val="000000" w:themeColor="text1"/>
          <w14:textFill>
            <w14:solidFill>
              <w14:schemeClr w14:val="tx1"/>
            </w14:solidFill>
          </w14:textFill>
        </w:rPr>
      </w:pPr>
    </w:p>
    <w:sectPr>
      <w:headerReference r:id="rId3" w:type="default"/>
      <w:pgSz w:w="11907" w:h="16839"/>
      <w:pgMar w:top="1134" w:right="1134" w:bottom="1134" w:left="1701" w:header="567" w:footer="567"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nTime">
    <w:altName w:val="Times New Roman"/>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imesNewRomanPSMT">
    <w:altName w:val="Times New Roman"/>
    <w:panose1 w:val="00000000000000000000"/>
    <w:charset w:val="00"/>
    <w:family w:val="roman"/>
    <w:pitch w:val="default"/>
    <w:sig w:usb0="00000000" w:usb1="00000000" w:usb2="00000001" w:usb3="00000000" w:csb0="400001BF" w:csb1="DFF7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176AC">
    <w:pPr>
      <w:pStyle w:val="13"/>
      <w:jc w:val="center"/>
    </w:pPr>
    <w:r>
      <w:fldChar w:fldCharType="begin"/>
    </w:r>
    <w:r>
      <w:instrText xml:space="preserve"> PAGE   \* MERGEFORMAT </w:instrText>
    </w:r>
    <w:r>
      <w:fldChar w:fldCharType="separate"/>
    </w:r>
    <w:r>
      <w:t>6</w:t>
    </w:r>
    <w:r>
      <w:fldChar w:fldCharType="end"/>
    </w:r>
  </w:p>
  <w:p w14:paraId="0FF29328">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7F"/>
    <w:rsid w:val="00005B1F"/>
    <w:rsid w:val="00012182"/>
    <w:rsid w:val="00017420"/>
    <w:rsid w:val="000219D2"/>
    <w:rsid w:val="000509F5"/>
    <w:rsid w:val="00051682"/>
    <w:rsid w:val="00054FE2"/>
    <w:rsid w:val="0005593E"/>
    <w:rsid w:val="00061E22"/>
    <w:rsid w:val="00062F78"/>
    <w:rsid w:val="000811BA"/>
    <w:rsid w:val="00085B7A"/>
    <w:rsid w:val="000923E3"/>
    <w:rsid w:val="000A307F"/>
    <w:rsid w:val="000B7833"/>
    <w:rsid w:val="000C0658"/>
    <w:rsid w:val="000C7E78"/>
    <w:rsid w:val="000D4388"/>
    <w:rsid w:val="000D569E"/>
    <w:rsid w:val="000F0C51"/>
    <w:rsid w:val="00112067"/>
    <w:rsid w:val="00113C47"/>
    <w:rsid w:val="001627AB"/>
    <w:rsid w:val="00164518"/>
    <w:rsid w:val="00172F40"/>
    <w:rsid w:val="001736A0"/>
    <w:rsid w:val="00175A49"/>
    <w:rsid w:val="00184FF4"/>
    <w:rsid w:val="001906AB"/>
    <w:rsid w:val="001946A7"/>
    <w:rsid w:val="001956D1"/>
    <w:rsid w:val="001A46CA"/>
    <w:rsid w:val="001A747D"/>
    <w:rsid w:val="001B19FF"/>
    <w:rsid w:val="001B46D7"/>
    <w:rsid w:val="001E01C2"/>
    <w:rsid w:val="001E2E9E"/>
    <w:rsid w:val="001F4055"/>
    <w:rsid w:val="00204BDB"/>
    <w:rsid w:val="00211931"/>
    <w:rsid w:val="002218F3"/>
    <w:rsid w:val="00222861"/>
    <w:rsid w:val="00223A42"/>
    <w:rsid w:val="002301BA"/>
    <w:rsid w:val="002311DD"/>
    <w:rsid w:val="00234EF6"/>
    <w:rsid w:val="00235FB6"/>
    <w:rsid w:val="00237400"/>
    <w:rsid w:val="002404C7"/>
    <w:rsid w:val="00244D29"/>
    <w:rsid w:val="00247A5A"/>
    <w:rsid w:val="00257F18"/>
    <w:rsid w:val="002609CA"/>
    <w:rsid w:val="00266810"/>
    <w:rsid w:val="00267D55"/>
    <w:rsid w:val="00280E9E"/>
    <w:rsid w:val="0029277B"/>
    <w:rsid w:val="002975FB"/>
    <w:rsid w:val="002B051E"/>
    <w:rsid w:val="002C57EA"/>
    <w:rsid w:val="002C78C9"/>
    <w:rsid w:val="002F5A1C"/>
    <w:rsid w:val="00337808"/>
    <w:rsid w:val="0034227C"/>
    <w:rsid w:val="00344BE9"/>
    <w:rsid w:val="00350D4F"/>
    <w:rsid w:val="00353730"/>
    <w:rsid w:val="00386A5C"/>
    <w:rsid w:val="00397CB3"/>
    <w:rsid w:val="003A0AE0"/>
    <w:rsid w:val="003C2981"/>
    <w:rsid w:val="003D6E7F"/>
    <w:rsid w:val="003F0BB7"/>
    <w:rsid w:val="00404CD5"/>
    <w:rsid w:val="00416F61"/>
    <w:rsid w:val="0042755B"/>
    <w:rsid w:val="00430051"/>
    <w:rsid w:val="00434D8B"/>
    <w:rsid w:val="00440AD1"/>
    <w:rsid w:val="004446B1"/>
    <w:rsid w:val="00446B70"/>
    <w:rsid w:val="00447B30"/>
    <w:rsid w:val="004507AD"/>
    <w:rsid w:val="004563BC"/>
    <w:rsid w:val="00463E5E"/>
    <w:rsid w:val="0046544D"/>
    <w:rsid w:val="004A4A2F"/>
    <w:rsid w:val="004A7F57"/>
    <w:rsid w:val="004B501C"/>
    <w:rsid w:val="004D10D8"/>
    <w:rsid w:val="004D6B75"/>
    <w:rsid w:val="004D7376"/>
    <w:rsid w:val="004E073A"/>
    <w:rsid w:val="004E3DC5"/>
    <w:rsid w:val="004E5849"/>
    <w:rsid w:val="004F3E7B"/>
    <w:rsid w:val="00500ADD"/>
    <w:rsid w:val="00510E4D"/>
    <w:rsid w:val="00530846"/>
    <w:rsid w:val="00530DA4"/>
    <w:rsid w:val="00534CD3"/>
    <w:rsid w:val="005402C0"/>
    <w:rsid w:val="00541495"/>
    <w:rsid w:val="00553090"/>
    <w:rsid w:val="00556135"/>
    <w:rsid w:val="005565B0"/>
    <w:rsid w:val="005705BD"/>
    <w:rsid w:val="00576596"/>
    <w:rsid w:val="0058276F"/>
    <w:rsid w:val="005831A1"/>
    <w:rsid w:val="00592548"/>
    <w:rsid w:val="00592DB7"/>
    <w:rsid w:val="00594752"/>
    <w:rsid w:val="00595B7D"/>
    <w:rsid w:val="005A7CAF"/>
    <w:rsid w:val="005D396C"/>
    <w:rsid w:val="005D6913"/>
    <w:rsid w:val="005E187D"/>
    <w:rsid w:val="005F3938"/>
    <w:rsid w:val="005F3C72"/>
    <w:rsid w:val="005F731A"/>
    <w:rsid w:val="00604480"/>
    <w:rsid w:val="006406A8"/>
    <w:rsid w:val="00650074"/>
    <w:rsid w:val="00657A2E"/>
    <w:rsid w:val="00665650"/>
    <w:rsid w:val="00686A36"/>
    <w:rsid w:val="00690CD0"/>
    <w:rsid w:val="006A1E9E"/>
    <w:rsid w:val="006A7576"/>
    <w:rsid w:val="006A7C0A"/>
    <w:rsid w:val="006B6DD4"/>
    <w:rsid w:val="006C7793"/>
    <w:rsid w:val="0070185F"/>
    <w:rsid w:val="00701C99"/>
    <w:rsid w:val="00710741"/>
    <w:rsid w:val="007164EA"/>
    <w:rsid w:val="00726E9D"/>
    <w:rsid w:val="00733B8E"/>
    <w:rsid w:val="007341C9"/>
    <w:rsid w:val="00735251"/>
    <w:rsid w:val="00753DFD"/>
    <w:rsid w:val="00756D6D"/>
    <w:rsid w:val="00757D77"/>
    <w:rsid w:val="00760123"/>
    <w:rsid w:val="00772C10"/>
    <w:rsid w:val="00773F34"/>
    <w:rsid w:val="00775FFC"/>
    <w:rsid w:val="00781624"/>
    <w:rsid w:val="0078364F"/>
    <w:rsid w:val="00783E93"/>
    <w:rsid w:val="00793549"/>
    <w:rsid w:val="007A2EAB"/>
    <w:rsid w:val="007B0ABF"/>
    <w:rsid w:val="007C16DA"/>
    <w:rsid w:val="007C20C8"/>
    <w:rsid w:val="007C5DE3"/>
    <w:rsid w:val="007D3DBC"/>
    <w:rsid w:val="007E4505"/>
    <w:rsid w:val="007F106C"/>
    <w:rsid w:val="007F5E84"/>
    <w:rsid w:val="008003D3"/>
    <w:rsid w:val="00813D5F"/>
    <w:rsid w:val="008320FD"/>
    <w:rsid w:val="008406D7"/>
    <w:rsid w:val="008431A4"/>
    <w:rsid w:val="00850496"/>
    <w:rsid w:val="008518C5"/>
    <w:rsid w:val="00851CFE"/>
    <w:rsid w:val="008664C0"/>
    <w:rsid w:val="0087445E"/>
    <w:rsid w:val="00880CA2"/>
    <w:rsid w:val="008856F0"/>
    <w:rsid w:val="008A352C"/>
    <w:rsid w:val="008A5011"/>
    <w:rsid w:val="008B0029"/>
    <w:rsid w:val="008B5DC6"/>
    <w:rsid w:val="008B63F2"/>
    <w:rsid w:val="008D1E36"/>
    <w:rsid w:val="008E025F"/>
    <w:rsid w:val="0091170C"/>
    <w:rsid w:val="009337E1"/>
    <w:rsid w:val="009345C6"/>
    <w:rsid w:val="00961419"/>
    <w:rsid w:val="009717F5"/>
    <w:rsid w:val="00987DCF"/>
    <w:rsid w:val="009B4CD3"/>
    <w:rsid w:val="009C0B3D"/>
    <w:rsid w:val="009C1054"/>
    <w:rsid w:val="009C6DE4"/>
    <w:rsid w:val="009D1015"/>
    <w:rsid w:val="009D2268"/>
    <w:rsid w:val="009D7AD5"/>
    <w:rsid w:val="009F1730"/>
    <w:rsid w:val="009F4A0B"/>
    <w:rsid w:val="00A00520"/>
    <w:rsid w:val="00A12C7F"/>
    <w:rsid w:val="00A31B87"/>
    <w:rsid w:val="00A330BB"/>
    <w:rsid w:val="00A3511E"/>
    <w:rsid w:val="00A66A3F"/>
    <w:rsid w:val="00A66C72"/>
    <w:rsid w:val="00A74AF5"/>
    <w:rsid w:val="00A76847"/>
    <w:rsid w:val="00A9426A"/>
    <w:rsid w:val="00A96D21"/>
    <w:rsid w:val="00A97E34"/>
    <w:rsid w:val="00AC74F7"/>
    <w:rsid w:val="00AE29EE"/>
    <w:rsid w:val="00B168AF"/>
    <w:rsid w:val="00B246A2"/>
    <w:rsid w:val="00B60A1F"/>
    <w:rsid w:val="00B622C5"/>
    <w:rsid w:val="00B629D7"/>
    <w:rsid w:val="00B767FC"/>
    <w:rsid w:val="00B831BF"/>
    <w:rsid w:val="00B84B80"/>
    <w:rsid w:val="00B96CA6"/>
    <w:rsid w:val="00BC6D6B"/>
    <w:rsid w:val="00BD0C42"/>
    <w:rsid w:val="00BD1462"/>
    <w:rsid w:val="00BF1B23"/>
    <w:rsid w:val="00C27CCA"/>
    <w:rsid w:val="00C302E7"/>
    <w:rsid w:val="00C31D83"/>
    <w:rsid w:val="00C37E90"/>
    <w:rsid w:val="00C41409"/>
    <w:rsid w:val="00C44FAD"/>
    <w:rsid w:val="00C56ADD"/>
    <w:rsid w:val="00C64559"/>
    <w:rsid w:val="00C65D95"/>
    <w:rsid w:val="00C73AD0"/>
    <w:rsid w:val="00C76077"/>
    <w:rsid w:val="00C85AEB"/>
    <w:rsid w:val="00C87596"/>
    <w:rsid w:val="00C8788B"/>
    <w:rsid w:val="00C902FE"/>
    <w:rsid w:val="00CA6AF5"/>
    <w:rsid w:val="00CC4D2A"/>
    <w:rsid w:val="00CC7B81"/>
    <w:rsid w:val="00CD1FFA"/>
    <w:rsid w:val="00CD4A23"/>
    <w:rsid w:val="00CD6D90"/>
    <w:rsid w:val="00CE5EFA"/>
    <w:rsid w:val="00CE6FCF"/>
    <w:rsid w:val="00CF29F2"/>
    <w:rsid w:val="00D06CDE"/>
    <w:rsid w:val="00D34F58"/>
    <w:rsid w:val="00D406D2"/>
    <w:rsid w:val="00D45E9E"/>
    <w:rsid w:val="00D475C0"/>
    <w:rsid w:val="00D57871"/>
    <w:rsid w:val="00D617C5"/>
    <w:rsid w:val="00D662DA"/>
    <w:rsid w:val="00D678D8"/>
    <w:rsid w:val="00D80948"/>
    <w:rsid w:val="00D84546"/>
    <w:rsid w:val="00DB0406"/>
    <w:rsid w:val="00DB6210"/>
    <w:rsid w:val="00DC15D7"/>
    <w:rsid w:val="00DD0F22"/>
    <w:rsid w:val="00DF4312"/>
    <w:rsid w:val="00E00322"/>
    <w:rsid w:val="00E10B3A"/>
    <w:rsid w:val="00E132CA"/>
    <w:rsid w:val="00E137F6"/>
    <w:rsid w:val="00E141BC"/>
    <w:rsid w:val="00E25C1D"/>
    <w:rsid w:val="00E27C8A"/>
    <w:rsid w:val="00E335E5"/>
    <w:rsid w:val="00E44372"/>
    <w:rsid w:val="00E65003"/>
    <w:rsid w:val="00E65BBB"/>
    <w:rsid w:val="00E70362"/>
    <w:rsid w:val="00E726C9"/>
    <w:rsid w:val="00E825F1"/>
    <w:rsid w:val="00EA25B6"/>
    <w:rsid w:val="00EE6D00"/>
    <w:rsid w:val="00F06696"/>
    <w:rsid w:val="00F23A8C"/>
    <w:rsid w:val="00F24B03"/>
    <w:rsid w:val="00F306B5"/>
    <w:rsid w:val="00F350F1"/>
    <w:rsid w:val="00F40667"/>
    <w:rsid w:val="00F56B2E"/>
    <w:rsid w:val="00F63FA3"/>
    <w:rsid w:val="00F9424F"/>
    <w:rsid w:val="00F96381"/>
    <w:rsid w:val="00F979F9"/>
    <w:rsid w:val="00FA788B"/>
    <w:rsid w:val="00FA7E61"/>
    <w:rsid w:val="00FB46A2"/>
    <w:rsid w:val="00FC5D4B"/>
    <w:rsid w:val="00FE1A67"/>
    <w:rsid w:val="13BE7FF4"/>
    <w:rsid w:val="14B65926"/>
    <w:rsid w:val="1FB673F1"/>
    <w:rsid w:val="2FA80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4"/>
    <w:basedOn w:val="1"/>
    <w:next w:val="1"/>
    <w:link w:val="30"/>
    <w:semiHidden/>
    <w:unhideWhenUsed/>
    <w:qFormat/>
    <w:uiPriority w:val="9"/>
    <w:pPr>
      <w:keepNext/>
      <w:keepLines/>
      <w:spacing w:before="40"/>
      <w:outlineLvl w:val="3"/>
    </w:pPr>
    <w:rPr>
      <w:rFonts w:asciiTheme="majorHAnsi" w:hAnsiTheme="majorHAnsi" w:eastAsiaTheme="majorEastAsia" w:cstheme="majorBidi"/>
      <w:i/>
      <w:iCs/>
      <w:color w:val="2E75B6" w:themeColor="accent1" w:themeShade="BF"/>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8"/>
    <w:semiHidden/>
    <w:unhideWhenUsed/>
    <w:uiPriority w:val="99"/>
    <w:rPr>
      <w:rFonts w:ascii="Tahoma" w:hAnsi="Tahoma" w:cs="Tahoma"/>
      <w:sz w:val="16"/>
      <w:szCs w:val="16"/>
    </w:rPr>
  </w:style>
  <w:style w:type="paragraph" w:styleId="6">
    <w:name w:val="Body Text Indent"/>
    <w:basedOn w:val="1"/>
    <w:link w:val="24"/>
    <w:uiPriority w:val="0"/>
    <w:pPr>
      <w:spacing w:after="120"/>
      <w:ind w:left="283"/>
    </w:pPr>
    <w:rPr>
      <w:rFonts w:ascii=".VnTime" w:hAnsi=".VnTime"/>
    </w:rPr>
  </w:style>
  <w:style w:type="character" w:styleId="7">
    <w:name w:val="annotation reference"/>
    <w:basedOn w:val="3"/>
    <w:semiHidden/>
    <w:unhideWhenUsed/>
    <w:uiPriority w:val="0"/>
    <w:rPr>
      <w:sz w:val="16"/>
      <w:szCs w:val="16"/>
    </w:rPr>
  </w:style>
  <w:style w:type="paragraph" w:styleId="8">
    <w:name w:val="annotation text"/>
    <w:basedOn w:val="1"/>
    <w:link w:val="26"/>
    <w:semiHidden/>
    <w:unhideWhenUsed/>
    <w:qFormat/>
    <w:uiPriority w:val="0"/>
    <w:rPr>
      <w:sz w:val="20"/>
      <w:szCs w:val="20"/>
    </w:rPr>
  </w:style>
  <w:style w:type="paragraph" w:styleId="9">
    <w:name w:val="footer"/>
    <w:basedOn w:val="1"/>
    <w:link w:val="23"/>
    <w:unhideWhenUsed/>
    <w:uiPriority w:val="99"/>
    <w:pPr>
      <w:tabs>
        <w:tab w:val="center" w:pos="4680"/>
        <w:tab w:val="right" w:pos="9360"/>
      </w:tabs>
    </w:pPr>
  </w:style>
  <w:style w:type="character" w:styleId="10">
    <w:name w:val="footnote reference"/>
    <w:link w:val="11"/>
    <w:qFormat/>
    <w:uiPriority w:val="99"/>
    <w:rPr>
      <w:vertAlign w:val="superscript"/>
    </w:rPr>
  </w:style>
  <w:style w:type="paragraph" w:customStyle="1" w:styleId="11">
    <w:name w:val="Char Char1 Char Char Char Char1 Char Char Char Char Char Char Char Char"/>
    <w:basedOn w:val="1"/>
    <w:next w:val="1"/>
    <w:link w:val="10"/>
    <w:qFormat/>
    <w:uiPriority w:val="0"/>
    <w:pPr>
      <w:spacing w:after="160" w:line="240" w:lineRule="exact"/>
    </w:pPr>
    <w:rPr>
      <w:rFonts w:ascii="Calibri" w:hAnsi="Calibri" w:eastAsia="Calibri"/>
      <w:sz w:val="20"/>
      <w:szCs w:val="20"/>
      <w:vertAlign w:val="superscript"/>
    </w:rPr>
  </w:style>
  <w:style w:type="paragraph" w:styleId="12">
    <w:name w:val="footnote text"/>
    <w:basedOn w:val="1"/>
    <w:link w:val="25"/>
    <w:qFormat/>
    <w:uiPriority w:val="99"/>
    <w:rPr>
      <w:rFonts w:ascii=".VnTime" w:hAnsi=".VnTime"/>
      <w:sz w:val="20"/>
      <w:szCs w:val="20"/>
    </w:rPr>
  </w:style>
  <w:style w:type="paragraph" w:styleId="13">
    <w:name w:val="header"/>
    <w:basedOn w:val="1"/>
    <w:link w:val="22"/>
    <w:unhideWhenUsed/>
    <w:uiPriority w:val="99"/>
    <w:pPr>
      <w:tabs>
        <w:tab w:val="center" w:pos="4680"/>
        <w:tab w:val="right" w:pos="9360"/>
      </w:tabs>
    </w:pPr>
  </w:style>
  <w:style w:type="character" w:styleId="14">
    <w:name w:val="Hyperlink"/>
    <w:unhideWhenUsed/>
    <w:uiPriority w:val="99"/>
    <w:rPr>
      <w:color w:val="0000FF"/>
      <w:u w:val="single"/>
    </w:rPr>
  </w:style>
  <w:style w:type="paragraph" w:styleId="15">
    <w:name w:val="Normal (Web)"/>
    <w:basedOn w:val="1"/>
    <w:unhideWhenUsed/>
    <w:uiPriority w:val="99"/>
    <w:pPr>
      <w:spacing w:before="100" w:beforeAutospacing="1" w:after="100" w:afterAutospacing="1"/>
    </w:pPr>
    <w:rPr>
      <w:sz w:val="24"/>
      <w:szCs w:val="24"/>
    </w:rPr>
  </w:style>
  <w:style w:type="table" w:styleId="16">
    <w:name w:val="Table Grid"/>
    <w:basedOn w:val="4"/>
    <w:uiPriority w:val="5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 1"/>
    <w:uiPriority w:val="0"/>
    <w:pPr>
      <w:outlineLvl w:val="0"/>
    </w:pPr>
    <w:rPr>
      <w:rFonts w:ascii="Times New Roman" w:hAnsi="Times New Roman" w:eastAsia="Arial Unicode MS" w:cs="Times New Roman"/>
      <w:color w:val="000000"/>
      <w:sz w:val="24"/>
      <w:u w:color="000000"/>
      <w:lang w:val="en-US" w:eastAsia="en-US" w:bidi="ar-SA"/>
    </w:rPr>
  </w:style>
  <w:style w:type="character" w:customStyle="1" w:styleId="18">
    <w:name w:val="Balloon Text Char"/>
    <w:link w:val="5"/>
    <w:semiHidden/>
    <w:uiPriority w:val="99"/>
    <w:rPr>
      <w:rFonts w:ascii="Tahoma" w:hAnsi="Tahoma" w:eastAsia="Times New Roman" w:cs="Tahoma"/>
      <w:sz w:val="16"/>
      <w:szCs w:val="16"/>
    </w:rPr>
  </w:style>
  <w:style w:type="paragraph" w:styleId="19">
    <w:name w:val="List Paragraph"/>
    <w:basedOn w:val="1"/>
    <w:qFormat/>
    <w:uiPriority w:val="34"/>
    <w:pPr>
      <w:ind w:left="720"/>
      <w:contextualSpacing/>
    </w:pPr>
  </w:style>
  <w:style w:type="paragraph" w:customStyle="1" w:styleId="20">
    <w:name w:val="Char1 Char Char Char Char Char Char Char Char Char Char Char Char Char Char Char Char1 Char Char"/>
    <w:basedOn w:val="1"/>
    <w:uiPriority w:val="0"/>
    <w:pPr>
      <w:widowControl w:val="0"/>
      <w:jc w:val="both"/>
    </w:pPr>
    <w:rPr>
      <w:rFonts w:eastAsia="SimSun"/>
      <w:kern w:val="2"/>
      <w:sz w:val="24"/>
      <w:szCs w:val="26"/>
      <w:lang w:eastAsia="zh-CN"/>
    </w:rPr>
  </w:style>
  <w:style w:type="character" w:customStyle="1" w:styleId="21">
    <w:name w:val="fontstyle01"/>
    <w:qFormat/>
    <w:uiPriority w:val="0"/>
    <w:rPr>
      <w:rFonts w:hint="default" w:ascii="Times New Roman" w:hAnsi="Times New Roman" w:cs="Times New Roman"/>
      <w:color w:val="000000"/>
      <w:sz w:val="28"/>
      <w:szCs w:val="28"/>
    </w:rPr>
  </w:style>
  <w:style w:type="character" w:customStyle="1" w:styleId="22">
    <w:name w:val="Header Char"/>
    <w:link w:val="13"/>
    <w:qFormat/>
    <w:uiPriority w:val="99"/>
    <w:rPr>
      <w:rFonts w:ascii="Times New Roman" w:hAnsi="Times New Roman" w:eastAsia="Times New Roman"/>
      <w:sz w:val="28"/>
      <w:szCs w:val="28"/>
    </w:rPr>
  </w:style>
  <w:style w:type="character" w:customStyle="1" w:styleId="23">
    <w:name w:val="Footer Char"/>
    <w:link w:val="9"/>
    <w:qFormat/>
    <w:uiPriority w:val="99"/>
    <w:rPr>
      <w:rFonts w:ascii="Times New Roman" w:hAnsi="Times New Roman" w:eastAsia="Times New Roman"/>
      <w:sz w:val="28"/>
      <w:szCs w:val="28"/>
    </w:rPr>
  </w:style>
  <w:style w:type="character" w:customStyle="1" w:styleId="24">
    <w:name w:val="Body Text Indent Char"/>
    <w:basedOn w:val="3"/>
    <w:link w:val="6"/>
    <w:uiPriority w:val="0"/>
    <w:rPr>
      <w:rFonts w:ascii=".VnTime" w:hAnsi=".VnTime" w:eastAsia="Times New Roman"/>
      <w:sz w:val="28"/>
      <w:szCs w:val="28"/>
    </w:rPr>
  </w:style>
  <w:style w:type="character" w:customStyle="1" w:styleId="25">
    <w:name w:val="Footnote Text Char"/>
    <w:basedOn w:val="3"/>
    <w:link w:val="12"/>
    <w:qFormat/>
    <w:uiPriority w:val="99"/>
    <w:rPr>
      <w:rFonts w:ascii=".VnTime" w:hAnsi=".VnTime" w:eastAsia="Times New Roman"/>
    </w:rPr>
  </w:style>
  <w:style w:type="character" w:customStyle="1" w:styleId="26">
    <w:name w:val="Comment Text Char"/>
    <w:basedOn w:val="3"/>
    <w:link w:val="8"/>
    <w:semiHidden/>
    <w:qFormat/>
    <w:uiPriority w:val="0"/>
    <w:rPr>
      <w:rFonts w:ascii="Times New Roman" w:hAnsi="Times New Roman" w:eastAsia="Times New Roman"/>
    </w:rPr>
  </w:style>
  <w:style w:type="paragraph" w:customStyle="1" w:styleId="27">
    <w:name w:val="Revision"/>
    <w:hidden/>
    <w:semiHidden/>
    <w:uiPriority w:val="99"/>
    <w:rPr>
      <w:rFonts w:ascii="Times New Roman" w:hAnsi="Times New Roman" w:eastAsia="Times New Roman" w:cs="Times New Roman"/>
      <w:sz w:val="28"/>
      <w:szCs w:val="28"/>
      <w:lang w:val="en-US" w:eastAsia="en-US" w:bidi="ar-SA"/>
    </w:rPr>
  </w:style>
  <w:style w:type="character" w:customStyle="1" w:styleId="28">
    <w:name w:val="fontstyle21"/>
    <w:basedOn w:val="3"/>
    <w:uiPriority w:val="0"/>
    <w:rPr>
      <w:rFonts w:hint="default" w:ascii="Times New Roman" w:hAnsi="Times New Roman" w:cs="Times New Roman"/>
      <w:b/>
      <w:bCs/>
      <w:color w:val="000000"/>
      <w:sz w:val="26"/>
      <w:szCs w:val="26"/>
    </w:rPr>
  </w:style>
  <w:style w:type="paragraph" w:customStyle="1" w:styleId="29">
    <w:name w:val="Char Char Char1 Char Char Char Char Char Char1 Char"/>
    <w:basedOn w:val="1"/>
    <w:uiPriority w:val="0"/>
    <w:pPr>
      <w:spacing w:after="160" w:line="240" w:lineRule="exact"/>
    </w:pPr>
    <w:rPr>
      <w:rFonts w:ascii="Verdana" w:hAnsi="Verdana"/>
      <w:sz w:val="20"/>
      <w:szCs w:val="20"/>
      <w:lang w:val="en-GB"/>
    </w:rPr>
  </w:style>
  <w:style w:type="character" w:customStyle="1" w:styleId="30">
    <w:name w:val="Heading 4 Char"/>
    <w:basedOn w:val="3"/>
    <w:link w:val="2"/>
    <w:semiHidden/>
    <w:uiPriority w:val="9"/>
    <w:rPr>
      <w:rFonts w:asciiTheme="majorHAnsi" w:hAnsiTheme="majorHAnsi" w:eastAsiaTheme="majorEastAsia" w:cstheme="majorBidi"/>
      <w:i/>
      <w:iCs/>
      <w:color w:val="2E75B6" w:themeColor="accent1" w:themeShade="BF"/>
      <w:sz w:val="28"/>
      <w:szCs w:val="28"/>
    </w:rPr>
  </w:style>
  <w:style w:type="character" w:customStyle="1" w:styleId="31">
    <w:name w:val="Footnote Text Char1"/>
    <w:semiHidden/>
    <w:qFormat/>
    <w:locked/>
    <w:uiPriority w:val="99"/>
    <w:rPr>
      <w:rFonts w:ascii=".VnTime" w:hAnsi=".VnTime"/>
      <w:lang w:val="en-US" w:eastAsia="en-US"/>
    </w:rPr>
  </w:style>
  <w:style w:type="character" w:customStyle="1" w:styleId="32">
    <w:name w:val="normal-h1"/>
    <w:qFormat/>
    <w:uiPriority w:val="0"/>
    <w:rPr>
      <w:rFonts w:hint="default" w:ascii="Times New Roman" w:hAnsi="Times New Roman" w:cs="Times New Roman"/>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7462AE-C340-4162-BEFB-4DBCFAFB24D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Pages>
  <Words>2001</Words>
  <Characters>11411</Characters>
  <Lines>95</Lines>
  <Paragraphs>26</Paragraphs>
  <TotalTime>0</TotalTime>
  <ScaleCrop>false</ScaleCrop>
  <LinksUpToDate>false</LinksUpToDate>
  <CharactersWithSpaces>13386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2026-02-03T10:15:00Z</dcterms:created>
  <dc:creator>TIEN TRAN</dc:creator>
  <cp:lastModifiedBy>Admin</cp:lastModifiedBy>
  <cp:lastPrinted>2024-04-19T08:13:00Z</cp:lastPrinted>
  <dcterms:modified xsi:type="dcterms:W3CDTF">2026-03-17T03:53:49Z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E28BF9E87737437395909BFF0F043414_12</vt:lpwstr>
  </property>
</Properties>
</file>